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73" w:rsidRDefault="005D3473" w:rsidP="00762204">
      <w:pPr>
        <w:ind w:right="-1"/>
        <w:jc w:val="both"/>
        <w:rPr>
          <w:rFonts w:ascii="Arial" w:hAnsi="Arial" w:cs="Arial"/>
        </w:rPr>
      </w:pPr>
      <w:r>
        <w:rPr>
          <w:rFonts w:ascii="Arial" w:hAnsi="Arial" w:cs="Arial"/>
        </w:rPr>
        <w:t xml:space="preserve"> Allegato B)</w:t>
      </w:r>
    </w:p>
    <w:p w:rsidR="005D3473" w:rsidRPr="00B02A9A" w:rsidRDefault="005D3473" w:rsidP="00762204">
      <w:pPr>
        <w:ind w:right="-1"/>
        <w:jc w:val="both"/>
        <w:rPr>
          <w:rFonts w:ascii="Arial" w:hAnsi="Arial" w:cs="Arial"/>
        </w:rPr>
      </w:pPr>
    </w:p>
    <w:p w:rsidR="005D3473" w:rsidRPr="00B02A9A" w:rsidRDefault="005D3473" w:rsidP="00762204">
      <w:pPr>
        <w:pBdr>
          <w:top w:val="single" w:sz="6" w:space="2" w:color="auto" w:shadow="1"/>
          <w:left w:val="single" w:sz="6" w:space="4" w:color="auto" w:shadow="1"/>
          <w:bottom w:val="single" w:sz="6" w:space="1" w:color="auto" w:shadow="1"/>
          <w:right w:val="single" w:sz="6" w:space="4" w:color="auto" w:shadow="1"/>
        </w:pBdr>
        <w:ind w:right="283"/>
        <w:jc w:val="center"/>
        <w:rPr>
          <w:rFonts w:ascii="Arial" w:hAnsi="Arial" w:cs="Arial"/>
          <w:b/>
          <w:bCs/>
          <w:color w:val="000000"/>
        </w:rPr>
      </w:pPr>
      <w:r w:rsidRPr="00B02A9A">
        <w:rPr>
          <w:rFonts w:ascii="Arial" w:hAnsi="Arial" w:cs="Arial"/>
          <w:b/>
          <w:bCs/>
          <w:color w:val="000000"/>
        </w:rPr>
        <w:t>REQUISITI</w:t>
      </w:r>
      <w:r>
        <w:rPr>
          <w:rFonts w:ascii="Arial" w:hAnsi="Arial" w:cs="Arial"/>
          <w:b/>
          <w:bCs/>
          <w:color w:val="000000"/>
        </w:rPr>
        <w:t xml:space="preserve"> DI CAPACITA’ ECONOMICA E FINANZIARIA NONCHE’ TECNICA E PROFESSIONALE DEI SOGGETTI AMMESSI A PARTECIPARE</w:t>
      </w:r>
    </w:p>
    <w:p w:rsidR="005D3473" w:rsidRPr="00762204" w:rsidRDefault="005D3473" w:rsidP="00762204">
      <w:pPr>
        <w:ind w:right="283"/>
        <w:jc w:val="both"/>
        <w:rPr>
          <w:rFonts w:ascii="Calibri" w:hAnsi="Calibri" w:cs="Calibri"/>
          <w:color w:val="000000"/>
          <w:sz w:val="24"/>
          <w:szCs w:val="24"/>
        </w:rPr>
      </w:pPr>
    </w:p>
    <w:p w:rsidR="005D3473" w:rsidRDefault="005D3473" w:rsidP="00572D5E">
      <w:pPr>
        <w:ind w:left="709" w:hanging="709"/>
        <w:jc w:val="both"/>
        <w:rPr>
          <w:rFonts w:ascii="Arial" w:hAnsi="Arial" w:cs="Arial"/>
        </w:rPr>
      </w:pPr>
    </w:p>
    <w:p w:rsidR="005D3473" w:rsidRPr="00732CE4" w:rsidRDefault="005D3473" w:rsidP="00572D5E">
      <w:pPr>
        <w:jc w:val="both"/>
        <w:rPr>
          <w:rFonts w:ascii="Arial" w:hAnsi="Arial" w:cs="Arial"/>
        </w:rPr>
      </w:pPr>
      <w:r w:rsidRPr="00732CE4">
        <w:rPr>
          <w:rFonts w:ascii="Arial" w:hAnsi="Arial" w:cs="Arial"/>
          <w:color w:val="000000"/>
        </w:rPr>
        <w:t>Possono partecipare alla gara Compagnie di Assicurazione, in forma singola, in Raggruppamento Temporaneo d’Imprese ai sensi dell’art. 37 del D. Lgs. 163/2006 o in coassicurazione ai sensi dell’art. 1911 del Codice Civile, nel rispetto delle seguenti condizioni</w:t>
      </w:r>
      <w:r w:rsidRPr="00732CE4">
        <w:rPr>
          <w:rFonts w:ascii="Arial" w:hAnsi="Arial" w:cs="Arial"/>
        </w:rPr>
        <w:t xml:space="preserve"> e in possesso dei seguenti requisiti:</w:t>
      </w:r>
    </w:p>
    <w:p w:rsidR="005D3473" w:rsidRDefault="005D3473" w:rsidP="00572D5E">
      <w:pPr>
        <w:ind w:left="709" w:hanging="709"/>
        <w:jc w:val="both"/>
        <w:rPr>
          <w:rFonts w:ascii="Arial" w:hAnsi="Arial" w:cs="Arial"/>
        </w:rPr>
      </w:pPr>
    </w:p>
    <w:p w:rsidR="005D3473" w:rsidRPr="00732CE4" w:rsidRDefault="005D3473" w:rsidP="00572D5E">
      <w:pPr>
        <w:ind w:left="709" w:hanging="709"/>
        <w:jc w:val="both"/>
        <w:rPr>
          <w:rFonts w:ascii="Arial" w:hAnsi="Arial" w:cs="Arial"/>
        </w:rPr>
      </w:pPr>
    </w:p>
    <w:p w:rsidR="005D3473" w:rsidRPr="00732CE4" w:rsidRDefault="005D3473" w:rsidP="00917551">
      <w:pPr>
        <w:pStyle w:val="ListParagraph1"/>
        <w:tabs>
          <w:tab w:val="left" w:pos="426"/>
        </w:tabs>
        <w:spacing w:before="120" w:after="120"/>
        <w:ind w:left="0"/>
        <w:jc w:val="both"/>
        <w:rPr>
          <w:rFonts w:ascii="Arial" w:hAnsi="Arial" w:cs="Arial"/>
          <w:b/>
          <w:bCs/>
        </w:rPr>
      </w:pPr>
      <w:r w:rsidRPr="00732CE4">
        <w:rPr>
          <w:rFonts w:ascii="Arial" w:hAnsi="Arial" w:cs="Arial"/>
          <w:b/>
          <w:bCs/>
        </w:rPr>
        <w:t>Requisiti di capacità economica e finanziaria</w:t>
      </w:r>
    </w:p>
    <w:p w:rsidR="005D3473" w:rsidRPr="000A02E6" w:rsidRDefault="005D3473" w:rsidP="00572D5E">
      <w:pPr>
        <w:tabs>
          <w:tab w:val="left" w:pos="1260"/>
        </w:tabs>
        <w:spacing w:before="120"/>
        <w:jc w:val="both"/>
        <w:rPr>
          <w:rFonts w:ascii="Arial" w:hAnsi="Arial" w:cs="Arial"/>
        </w:rPr>
      </w:pPr>
      <w:r w:rsidRPr="000A02E6">
        <w:rPr>
          <w:rFonts w:ascii="Arial" w:hAnsi="Arial" w:cs="Arial"/>
        </w:rPr>
        <w:t xml:space="preserve">I concorrenti devono aver effettuato una raccolta totale dei premi nel ramo danni (inclusa RCA), non inferiore ad euro 30.000.000,00 da intendersi quale sommatoria nell’ultimo triennio. </w:t>
      </w:r>
    </w:p>
    <w:p w:rsidR="005D3473" w:rsidRPr="000A02E6" w:rsidRDefault="005D3473" w:rsidP="00572D5E">
      <w:pPr>
        <w:spacing w:before="120"/>
        <w:jc w:val="both"/>
        <w:rPr>
          <w:rFonts w:ascii="Arial" w:hAnsi="Arial" w:cs="Arial"/>
          <w:u w:val="single"/>
        </w:rPr>
      </w:pPr>
      <w:r w:rsidRPr="000A02E6">
        <w:rPr>
          <w:rFonts w:ascii="Arial" w:hAnsi="Arial" w:cs="Arial"/>
          <w:u w:val="single"/>
        </w:rPr>
        <w:t>(Si precisa che per tale requisito per ultimo triennio si intende il periodo relativo agli ultimi tre esercizi finanziari il cui bilancio sia stato approvato al momento della pubblicazione della presente gara).</w:t>
      </w:r>
    </w:p>
    <w:p w:rsidR="005D3473" w:rsidRPr="000A02E6" w:rsidRDefault="005D3473" w:rsidP="00572D5E">
      <w:pPr>
        <w:spacing w:before="120"/>
        <w:jc w:val="both"/>
        <w:rPr>
          <w:rFonts w:ascii="Arial" w:hAnsi="Arial" w:cs="Arial"/>
          <w:b/>
          <w:bCs/>
        </w:rPr>
      </w:pPr>
    </w:p>
    <w:p w:rsidR="005D3473" w:rsidRPr="000A02E6" w:rsidRDefault="005D3473" w:rsidP="00917551">
      <w:pPr>
        <w:pStyle w:val="ListParagraph1"/>
        <w:tabs>
          <w:tab w:val="left" w:pos="426"/>
        </w:tabs>
        <w:spacing w:before="120" w:after="120"/>
        <w:ind w:left="0"/>
        <w:jc w:val="both"/>
        <w:rPr>
          <w:rFonts w:ascii="Arial" w:hAnsi="Arial" w:cs="Arial"/>
          <w:b/>
          <w:bCs/>
        </w:rPr>
      </w:pPr>
      <w:bookmarkStart w:id="0" w:name="_GoBack"/>
      <w:bookmarkStart w:id="1" w:name="_Toc206407054"/>
      <w:bookmarkStart w:id="2" w:name="_Toc251310906"/>
      <w:bookmarkEnd w:id="0"/>
      <w:r w:rsidRPr="000A02E6">
        <w:rPr>
          <w:rFonts w:ascii="Arial" w:hAnsi="Arial" w:cs="Arial"/>
          <w:b/>
          <w:bCs/>
        </w:rPr>
        <w:t>Requisiti di capacità tecnica e professionale</w:t>
      </w:r>
      <w:bookmarkEnd w:id="1"/>
      <w:bookmarkEnd w:id="2"/>
    </w:p>
    <w:p w:rsidR="005D3473" w:rsidRPr="000A02E6" w:rsidRDefault="005D3473" w:rsidP="00572D5E">
      <w:pPr>
        <w:tabs>
          <w:tab w:val="left" w:pos="1260"/>
        </w:tabs>
        <w:spacing w:before="120"/>
        <w:jc w:val="both"/>
        <w:rPr>
          <w:rFonts w:ascii="Arial" w:hAnsi="Arial" w:cs="Arial"/>
        </w:rPr>
      </w:pPr>
      <w:r w:rsidRPr="000A02E6">
        <w:rPr>
          <w:rFonts w:ascii="Arial" w:hAnsi="Arial" w:cs="Arial"/>
        </w:rPr>
        <w:t>I concorrenti devono aver stipulato nell’ultimo triennio almeno n.3 (tre) contratti  in ciascun ramo e/o rischio assicurativo analoghi a quelli oggetto del Lotto unico indivisibile per cui presentano offerta per servizi resi alle Pubbliche Amministrazioni.</w:t>
      </w:r>
    </w:p>
    <w:p w:rsidR="005D3473" w:rsidRPr="00732CE4" w:rsidRDefault="005D3473" w:rsidP="00572D5E">
      <w:pPr>
        <w:spacing w:before="120"/>
        <w:jc w:val="both"/>
        <w:rPr>
          <w:rFonts w:ascii="Arial" w:hAnsi="Arial" w:cs="Arial"/>
          <w:u w:val="single"/>
        </w:rPr>
      </w:pPr>
      <w:r w:rsidRPr="000A02E6">
        <w:rPr>
          <w:rFonts w:ascii="Arial" w:hAnsi="Arial" w:cs="Arial"/>
          <w:u w:val="single"/>
        </w:rPr>
        <w:t>(Si precisa che negli atti di gara per ultimo triennio si intende quello antecedente al termine di scadenza di presentazione delle offerte).</w:t>
      </w:r>
    </w:p>
    <w:p w:rsidR="005D3473" w:rsidRPr="00762204" w:rsidRDefault="005D3473" w:rsidP="00762204">
      <w:pPr>
        <w:spacing w:before="120"/>
        <w:jc w:val="both"/>
        <w:rPr>
          <w:rFonts w:ascii="Calibri" w:hAnsi="Calibri" w:cs="Calibri"/>
          <w:sz w:val="24"/>
          <w:szCs w:val="24"/>
        </w:rPr>
      </w:pPr>
    </w:p>
    <w:p w:rsidR="005D3473" w:rsidRPr="00762204" w:rsidRDefault="005D3473">
      <w:pPr>
        <w:rPr>
          <w:rFonts w:ascii="Calibri" w:hAnsi="Calibri" w:cs="Calibri"/>
          <w:sz w:val="24"/>
          <w:szCs w:val="24"/>
        </w:rPr>
      </w:pPr>
    </w:p>
    <w:sectPr w:rsidR="005D3473" w:rsidRPr="00762204" w:rsidSect="001B6F2C">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B01E9"/>
    <w:multiLevelType w:val="multilevel"/>
    <w:tmpl w:val="DFC674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204"/>
    <w:rsid w:val="000A02E6"/>
    <w:rsid w:val="001B6F2C"/>
    <w:rsid w:val="002008D1"/>
    <w:rsid w:val="00272F76"/>
    <w:rsid w:val="004B04E4"/>
    <w:rsid w:val="004F2E56"/>
    <w:rsid w:val="005712D0"/>
    <w:rsid w:val="00572D5E"/>
    <w:rsid w:val="005827F9"/>
    <w:rsid w:val="005D3473"/>
    <w:rsid w:val="006B0885"/>
    <w:rsid w:val="006D0DD4"/>
    <w:rsid w:val="00732CE4"/>
    <w:rsid w:val="00762204"/>
    <w:rsid w:val="00800F33"/>
    <w:rsid w:val="00917551"/>
    <w:rsid w:val="00931A66"/>
    <w:rsid w:val="00AF22E9"/>
    <w:rsid w:val="00B02A9A"/>
    <w:rsid w:val="00B31DF3"/>
    <w:rsid w:val="00C86F04"/>
    <w:rsid w:val="00DB428E"/>
    <w:rsid w:val="00E03849"/>
    <w:rsid w:val="00E06E73"/>
    <w:rsid w:val="00E464B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04"/>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2204"/>
    <w:pPr>
      <w:ind w:left="720"/>
    </w:pPr>
  </w:style>
  <w:style w:type="paragraph" w:customStyle="1" w:styleId="ListParagraph1">
    <w:name w:val="List Paragraph1"/>
    <w:basedOn w:val="Normal"/>
    <w:uiPriority w:val="99"/>
    <w:rsid w:val="00572D5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197</Words>
  <Characters>1125</Characters>
  <Application>Microsoft Office Outlook</Application>
  <DocSecurity>0</DocSecurity>
  <Lines>0</Lines>
  <Paragraphs>0</Paragraphs>
  <ScaleCrop>false</ScaleCrop>
  <Company>AON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REQUISITI DI CAPACITA’ ECONOMICA E FINANZIARIA NONCHE’ TECNICA E PROFESSIONALE DEI SOGGETTI AMMESSI A PARTECIPARE</dc:title>
  <dc:subject/>
  <dc:creator>AON SpA</dc:creator>
  <cp:keywords/>
  <dc:description/>
  <cp:lastModifiedBy>mazzolini-al-a392</cp:lastModifiedBy>
  <cp:revision>2</cp:revision>
  <dcterms:created xsi:type="dcterms:W3CDTF">2016-02-02T10:37:00Z</dcterms:created>
  <dcterms:modified xsi:type="dcterms:W3CDTF">2016-02-02T10:37:00Z</dcterms:modified>
</cp:coreProperties>
</file>