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315" w:rsidRPr="00732CE4" w:rsidRDefault="00FB5315" w:rsidP="00DA6D3C">
      <w:pPr>
        <w:ind w:right="-1"/>
        <w:jc w:val="both"/>
        <w:rPr>
          <w:rFonts w:ascii="Arial" w:hAnsi="Arial" w:cs="Arial"/>
        </w:rPr>
      </w:pPr>
      <w:r>
        <w:rPr>
          <w:rFonts w:ascii="Arial" w:hAnsi="Arial" w:cs="Arial"/>
        </w:rPr>
        <w:t xml:space="preserve">Allegato A) </w:t>
      </w:r>
    </w:p>
    <w:p w:rsidR="00FB5315" w:rsidRPr="00732CE4" w:rsidRDefault="00FB5315" w:rsidP="00DA6D3C">
      <w:pPr>
        <w:pBdr>
          <w:top w:val="single" w:sz="6" w:space="2" w:color="auto" w:shadow="1"/>
          <w:left w:val="single" w:sz="6" w:space="4" w:color="auto" w:shadow="1"/>
          <w:bottom w:val="single" w:sz="6" w:space="1" w:color="auto" w:shadow="1"/>
          <w:right w:val="single" w:sz="6" w:space="4" w:color="auto" w:shadow="1"/>
        </w:pBdr>
        <w:ind w:right="283"/>
        <w:jc w:val="center"/>
        <w:rPr>
          <w:rFonts w:ascii="Arial" w:hAnsi="Arial" w:cs="Arial"/>
          <w:b/>
          <w:bCs/>
          <w:color w:val="000000"/>
        </w:rPr>
      </w:pPr>
      <w:r w:rsidRPr="00732CE4">
        <w:rPr>
          <w:rFonts w:ascii="Arial" w:hAnsi="Arial" w:cs="Arial"/>
          <w:b/>
          <w:bCs/>
          <w:color w:val="000000"/>
        </w:rPr>
        <w:t>OFFERTA E CRITERIO DI AGGIUDICAZIONE DELL’APPALTO</w:t>
      </w:r>
    </w:p>
    <w:p w:rsidR="00FB5315" w:rsidRPr="00732CE4" w:rsidRDefault="00FB5315" w:rsidP="00DA6D3C">
      <w:pPr>
        <w:ind w:right="283"/>
        <w:jc w:val="both"/>
        <w:rPr>
          <w:rFonts w:ascii="Arial" w:hAnsi="Arial" w:cs="Arial"/>
        </w:rPr>
      </w:pPr>
    </w:p>
    <w:p w:rsidR="00FB5315" w:rsidRPr="00732CE4" w:rsidRDefault="00FB5315" w:rsidP="00DA6D3C">
      <w:pPr>
        <w:spacing w:after="40"/>
        <w:ind w:right="-143"/>
        <w:jc w:val="both"/>
        <w:rPr>
          <w:rFonts w:ascii="Arial" w:hAnsi="Arial" w:cs="Arial"/>
        </w:rPr>
      </w:pPr>
      <w:r w:rsidRPr="00732CE4">
        <w:rPr>
          <w:rFonts w:ascii="Arial" w:hAnsi="Arial" w:cs="Arial"/>
        </w:rPr>
        <w:t>Il servizio assicurativo oggetto della present</w:t>
      </w:r>
      <w:r>
        <w:rPr>
          <w:rFonts w:ascii="Arial" w:hAnsi="Arial" w:cs="Arial"/>
        </w:rPr>
        <w:t>e gara verrà aggiudicato con</w:t>
      </w:r>
      <w:r w:rsidRPr="00732CE4">
        <w:rPr>
          <w:rFonts w:ascii="Arial" w:hAnsi="Arial" w:cs="Arial"/>
          <w:color w:val="000000"/>
        </w:rPr>
        <w:t xml:space="preserve"> il</w:t>
      </w:r>
      <w:r w:rsidRPr="00732CE4">
        <w:rPr>
          <w:rFonts w:ascii="Arial" w:hAnsi="Arial" w:cs="Arial"/>
        </w:rPr>
        <w:t xml:space="preserve"> criterio dell’</w:t>
      </w:r>
      <w:r w:rsidRPr="00732CE4">
        <w:rPr>
          <w:rFonts w:ascii="Arial" w:hAnsi="Arial" w:cs="Arial"/>
          <w:b/>
          <w:bCs/>
        </w:rPr>
        <w:t>offerta economicamente più vantaggiosa</w:t>
      </w:r>
      <w:r>
        <w:rPr>
          <w:rFonts w:ascii="Arial" w:hAnsi="Arial" w:cs="Arial"/>
          <w:b/>
          <w:bCs/>
        </w:rPr>
        <w:t>,</w:t>
      </w:r>
      <w:r>
        <w:rPr>
          <w:rFonts w:ascii="Arial" w:hAnsi="Arial" w:cs="Arial"/>
        </w:rPr>
        <w:t xml:space="preserve"> ex art. 83 del D.</w:t>
      </w:r>
      <w:r w:rsidRPr="00732CE4">
        <w:rPr>
          <w:rFonts w:ascii="Arial" w:hAnsi="Arial" w:cs="Arial"/>
        </w:rPr>
        <w:t>Lgs. 163/2006 s</w:t>
      </w:r>
      <w:r>
        <w:rPr>
          <w:rFonts w:ascii="Arial" w:hAnsi="Arial" w:cs="Arial"/>
        </w:rPr>
        <w:t>s</w:t>
      </w:r>
      <w:r w:rsidRPr="00732CE4">
        <w:rPr>
          <w:rFonts w:ascii="Arial" w:hAnsi="Arial" w:cs="Arial"/>
        </w:rPr>
        <w:t>.</w:t>
      </w:r>
      <w:r>
        <w:rPr>
          <w:rFonts w:ascii="Arial" w:hAnsi="Arial" w:cs="Arial"/>
        </w:rPr>
        <w:t>m</w:t>
      </w:r>
      <w:r w:rsidRPr="00732CE4">
        <w:rPr>
          <w:rFonts w:ascii="Arial" w:hAnsi="Arial" w:cs="Arial"/>
        </w:rPr>
        <w:t>m.</w:t>
      </w:r>
      <w:r>
        <w:rPr>
          <w:rFonts w:ascii="Arial" w:hAnsi="Arial" w:cs="Arial"/>
        </w:rPr>
        <w:t>i</w:t>
      </w:r>
      <w:r w:rsidRPr="00732CE4">
        <w:rPr>
          <w:rFonts w:ascii="Arial" w:hAnsi="Arial" w:cs="Arial"/>
        </w:rPr>
        <w:t>i., sommando il punteggio afferente il “Merito Tecnico” ed il punteggio afferente l’”Offerta Economica”, come più avanti specificato.</w:t>
      </w:r>
    </w:p>
    <w:p w:rsidR="00FB5315" w:rsidRDefault="00FB5315" w:rsidP="00DA6D3C">
      <w:pPr>
        <w:ind w:right="-1"/>
        <w:jc w:val="both"/>
        <w:rPr>
          <w:rFonts w:ascii="Arial" w:hAnsi="Arial" w:cs="Arial"/>
          <w:b/>
          <w:bCs/>
        </w:rPr>
      </w:pPr>
      <w:r w:rsidRPr="00732CE4">
        <w:rPr>
          <w:rFonts w:ascii="Arial" w:hAnsi="Arial" w:cs="Arial"/>
          <w:b/>
          <w:bCs/>
        </w:rPr>
        <w:t>Si precisa che l’Impresa concorrente dovrà obbligatoriamente formulare offerta per il lotto Unico</w:t>
      </w:r>
      <w:r>
        <w:rPr>
          <w:rFonts w:ascii="Arial" w:hAnsi="Arial" w:cs="Arial"/>
          <w:b/>
          <w:bCs/>
        </w:rPr>
        <w:t xml:space="preserve"> indivisibile</w:t>
      </w:r>
      <w:r w:rsidRPr="00732CE4">
        <w:rPr>
          <w:rFonts w:ascii="Arial" w:hAnsi="Arial" w:cs="Arial"/>
          <w:b/>
          <w:bCs/>
        </w:rPr>
        <w:t xml:space="preserve"> per entrambi gli Enti </w:t>
      </w:r>
      <w:r>
        <w:rPr>
          <w:rFonts w:ascii="Arial" w:hAnsi="Arial" w:cs="Arial"/>
          <w:b/>
          <w:bCs/>
        </w:rPr>
        <w:t>committenti.</w:t>
      </w:r>
    </w:p>
    <w:p w:rsidR="00FB5315" w:rsidRPr="00732CE4" w:rsidRDefault="00FB5315" w:rsidP="00DA6D3C">
      <w:pPr>
        <w:ind w:right="-1"/>
        <w:jc w:val="both"/>
        <w:rPr>
          <w:rFonts w:ascii="Arial" w:hAnsi="Arial" w:cs="Arial"/>
          <w:b/>
          <w:bCs/>
        </w:rPr>
      </w:pPr>
      <w:r>
        <w:rPr>
          <w:rFonts w:ascii="Arial" w:hAnsi="Arial" w:cs="Arial"/>
          <w:b/>
          <w:bCs/>
        </w:rPr>
        <w:t>S</w:t>
      </w:r>
      <w:r w:rsidRPr="00732CE4">
        <w:rPr>
          <w:rFonts w:ascii="Arial" w:hAnsi="Arial" w:cs="Arial"/>
          <w:b/>
          <w:bCs/>
          <w:u w:val="single"/>
        </w:rPr>
        <w:t>i procederà</w:t>
      </w:r>
      <w:r>
        <w:rPr>
          <w:rFonts w:ascii="Arial" w:hAnsi="Arial" w:cs="Arial"/>
          <w:b/>
          <w:bCs/>
          <w:u w:val="single"/>
        </w:rPr>
        <w:t>, pertanto,</w:t>
      </w:r>
      <w:r w:rsidRPr="00732CE4">
        <w:rPr>
          <w:rFonts w:ascii="Arial" w:hAnsi="Arial" w:cs="Arial"/>
          <w:b/>
          <w:bCs/>
          <w:u w:val="single"/>
        </w:rPr>
        <w:t xml:space="preserve"> all’esclusione</w:t>
      </w:r>
      <w:r w:rsidRPr="00732CE4">
        <w:rPr>
          <w:rFonts w:ascii="Arial" w:hAnsi="Arial" w:cs="Arial"/>
          <w:b/>
          <w:bCs/>
        </w:rPr>
        <w:t xml:space="preserve"> della Compagnia che presenti offerta per</w:t>
      </w:r>
      <w:r>
        <w:rPr>
          <w:rFonts w:ascii="Arial" w:hAnsi="Arial" w:cs="Arial"/>
          <w:b/>
          <w:bCs/>
        </w:rPr>
        <w:t xml:space="preserve"> uno solo degli Enti committenti.</w:t>
      </w:r>
      <w:r w:rsidRPr="00732CE4">
        <w:rPr>
          <w:rFonts w:ascii="Arial" w:hAnsi="Arial" w:cs="Arial"/>
          <w:b/>
          <w:bCs/>
        </w:rPr>
        <w:t xml:space="preserve"> </w:t>
      </w:r>
    </w:p>
    <w:p w:rsidR="00FB5315" w:rsidRPr="00732CE4" w:rsidRDefault="00FB5315" w:rsidP="00DA6D3C">
      <w:pPr>
        <w:ind w:right="-1"/>
        <w:jc w:val="both"/>
        <w:rPr>
          <w:rFonts w:ascii="Arial" w:hAnsi="Arial" w:cs="Arial"/>
          <w:color w:val="000000"/>
        </w:rPr>
      </w:pPr>
    </w:p>
    <w:p w:rsidR="00FB5315" w:rsidRDefault="00FB5315" w:rsidP="00DA6D3C">
      <w:pPr>
        <w:pStyle w:val="BodyText"/>
        <w:spacing w:after="40" w:line="240" w:lineRule="auto"/>
        <w:ind w:right="-1"/>
        <w:jc w:val="both"/>
        <w:rPr>
          <w:rFonts w:ascii="Arial" w:hAnsi="Arial" w:cs="Arial"/>
          <w:sz w:val="20"/>
          <w:szCs w:val="20"/>
        </w:rPr>
      </w:pPr>
      <w:r w:rsidRPr="00732CE4">
        <w:rPr>
          <w:rFonts w:ascii="Arial" w:hAnsi="Arial" w:cs="Arial"/>
          <w:sz w:val="20"/>
          <w:szCs w:val="20"/>
        </w:rPr>
        <w:t xml:space="preserve">Si procederà all’aggiudicazione anche nel caso di una </w:t>
      </w:r>
      <w:r w:rsidRPr="00732CE4">
        <w:rPr>
          <w:rFonts w:ascii="Arial" w:hAnsi="Arial" w:cs="Arial"/>
          <w:b/>
          <w:bCs/>
          <w:sz w:val="20"/>
          <w:szCs w:val="20"/>
        </w:rPr>
        <w:t xml:space="preserve">sola offerta </w:t>
      </w:r>
      <w:r w:rsidRPr="00732CE4">
        <w:rPr>
          <w:rFonts w:ascii="Arial" w:hAnsi="Arial" w:cs="Arial"/>
          <w:sz w:val="20"/>
          <w:szCs w:val="20"/>
        </w:rPr>
        <w:t xml:space="preserve">pervenuta purché valida e previa valutazione della congruità della stessa. </w:t>
      </w:r>
    </w:p>
    <w:p w:rsidR="00FB5315" w:rsidRPr="00732CE4" w:rsidRDefault="00FB5315" w:rsidP="00DA6D3C">
      <w:pPr>
        <w:pStyle w:val="BodyText"/>
        <w:spacing w:after="40" w:line="240" w:lineRule="auto"/>
        <w:ind w:right="-1"/>
        <w:jc w:val="both"/>
        <w:rPr>
          <w:rFonts w:ascii="Arial" w:hAnsi="Arial" w:cs="Arial"/>
          <w:sz w:val="20"/>
          <w:szCs w:val="20"/>
        </w:rPr>
      </w:pPr>
      <w:r w:rsidRPr="00732CE4">
        <w:rPr>
          <w:rFonts w:ascii="Arial" w:hAnsi="Arial" w:cs="Arial"/>
          <w:sz w:val="20"/>
          <w:szCs w:val="20"/>
        </w:rPr>
        <w:t xml:space="preserve">Qualora due o più concorrenti abbiano </w:t>
      </w:r>
      <w:r w:rsidRPr="00732CE4">
        <w:rPr>
          <w:rFonts w:ascii="Arial" w:hAnsi="Arial" w:cs="Arial"/>
          <w:b/>
          <w:bCs/>
          <w:sz w:val="20"/>
          <w:szCs w:val="20"/>
        </w:rPr>
        <w:t>presentato offerte uguali</w:t>
      </w:r>
      <w:r w:rsidRPr="00732CE4">
        <w:rPr>
          <w:rFonts w:ascii="Arial" w:hAnsi="Arial" w:cs="Arial"/>
          <w:sz w:val="20"/>
          <w:szCs w:val="20"/>
        </w:rPr>
        <w:t>, si procederà per sorteggio.</w:t>
      </w:r>
    </w:p>
    <w:p w:rsidR="00FB5315" w:rsidRPr="00170EED" w:rsidRDefault="00FB5315" w:rsidP="00DA6D3C">
      <w:pPr>
        <w:pStyle w:val="BodyTextIndent2"/>
        <w:spacing w:after="0" w:line="240" w:lineRule="auto"/>
        <w:ind w:left="0"/>
        <w:jc w:val="both"/>
        <w:rPr>
          <w:rFonts w:ascii="Arial" w:hAnsi="Arial" w:cs="Arial"/>
          <w:sz w:val="20"/>
          <w:szCs w:val="20"/>
        </w:rPr>
      </w:pPr>
      <w:r w:rsidRPr="00170EED">
        <w:rPr>
          <w:rFonts w:ascii="Arial" w:hAnsi="Arial" w:cs="Arial"/>
          <w:sz w:val="20"/>
          <w:szCs w:val="20"/>
        </w:rPr>
        <w:t>I Comuni committenti non sono vincolati né obbligati a dar corso all’aggiudicazione del servizio, si riservano la facoltà, a proprio insindacabile giudizio, di non procedere all’aggiudicazione.</w:t>
      </w:r>
    </w:p>
    <w:p w:rsidR="00FB5315" w:rsidRDefault="00FB5315" w:rsidP="00DA6D3C">
      <w:pPr>
        <w:spacing w:after="40"/>
        <w:ind w:right="-1"/>
        <w:jc w:val="both"/>
        <w:rPr>
          <w:rFonts w:ascii="Arial" w:hAnsi="Arial" w:cs="Arial"/>
        </w:rPr>
      </w:pPr>
    </w:p>
    <w:p w:rsidR="00FB5315" w:rsidRDefault="00FB5315" w:rsidP="00DA6D3C">
      <w:pPr>
        <w:spacing w:after="40"/>
        <w:ind w:right="-1"/>
        <w:jc w:val="both"/>
        <w:rPr>
          <w:rFonts w:ascii="Arial" w:hAnsi="Arial" w:cs="Arial"/>
          <w:color w:val="000000"/>
        </w:rPr>
      </w:pPr>
      <w:r>
        <w:rPr>
          <w:rFonts w:ascii="Arial" w:hAnsi="Arial" w:cs="Arial"/>
        </w:rPr>
        <w:t>S</w:t>
      </w:r>
      <w:r w:rsidRPr="00170EED">
        <w:rPr>
          <w:rFonts w:ascii="Arial" w:hAnsi="Arial" w:cs="Arial"/>
        </w:rPr>
        <w:t>aranno oggetto di esclusione</w:t>
      </w:r>
      <w:r>
        <w:rPr>
          <w:rFonts w:ascii="Arial" w:hAnsi="Arial" w:cs="Arial"/>
        </w:rPr>
        <w:t xml:space="preserve"> le offerte economiche</w:t>
      </w:r>
      <w:r w:rsidRPr="00170EED">
        <w:rPr>
          <w:rFonts w:ascii="Arial" w:hAnsi="Arial" w:cs="Arial"/>
        </w:rPr>
        <w:t xml:space="preserve"> in aumento rispetto al prezzo indicato quale base </w:t>
      </w:r>
      <w:r w:rsidRPr="00170EED">
        <w:rPr>
          <w:rFonts w:ascii="Arial" w:hAnsi="Arial" w:cs="Arial"/>
          <w:color w:val="000000"/>
        </w:rPr>
        <w:t>d’asta.</w:t>
      </w:r>
    </w:p>
    <w:p w:rsidR="00FB5315" w:rsidRPr="00170EED" w:rsidRDefault="00FB5315" w:rsidP="00DA6D3C">
      <w:pPr>
        <w:spacing w:after="40"/>
        <w:ind w:right="-1"/>
        <w:jc w:val="both"/>
        <w:rPr>
          <w:rFonts w:ascii="Arial" w:hAnsi="Arial" w:cs="Arial"/>
          <w:color w:val="000000"/>
        </w:rPr>
      </w:pPr>
    </w:p>
    <w:p w:rsidR="00FB5315" w:rsidRPr="00732CE4" w:rsidRDefault="00FB5315" w:rsidP="00DA6D3C">
      <w:pPr>
        <w:ind w:right="-1"/>
        <w:jc w:val="both"/>
        <w:rPr>
          <w:rFonts w:ascii="Arial" w:hAnsi="Arial" w:cs="Arial"/>
        </w:rPr>
      </w:pPr>
      <w:r w:rsidRPr="00732CE4">
        <w:rPr>
          <w:rFonts w:ascii="Arial" w:hAnsi="Arial" w:cs="Arial"/>
        </w:rPr>
        <w:t xml:space="preserve">Le offerte devono essere redatte in </w:t>
      </w:r>
      <w:r w:rsidRPr="00732CE4">
        <w:rPr>
          <w:rFonts w:ascii="Arial" w:hAnsi="Arial" w:cs="Arial"/>
          <w:b/>
          <w:bCs/>
        </w:rPr>
        <w:t>lingua italiana</w:t>
      </w:r>
      <w:r w:rsidRPr="00732CE4">
        <w:rPr>
          <w:rFonts w:ascii="Arial" w:hAnsi="Arial" w:cs="Arial"/>
        </w:rPr>
        <w:t>. Si precisa che in caso di aggiudicazione dell’appalto, tutte le comunicazioni relative alla gestione del contratto dovranno essere formulate in lingua italiana.</w:t>
      </w:r>
    </w:p>
    <w:p w:rsidR="00FB5315" w:rsidRPr="00732CE4" w:rsidRDefault="00FB5315" w:rsidP="00DA6D3C">
      <w:pPr>
        <w:ind w:right="-1"/>
        <w:jc w:val="both"/>
        <w:rPr>
          <w:rFonts w:ascii="Arial" w:hAnsi="Arial" w:cs="Arial"/>
        </w:rPr>
      </w:pPr>
    </w:p>
    <w:p w:rsidR="00FB5315" w:rsidRPr="00732CE4" w:rsidRDefault="00FB5315" w:rsidP="00DA6D3C">
      <w:pPr>
        <w:ind w:right="-1"/>
        <w:jc w:val="both"/>
        <w:rPr>
          <w:rFonts w:ascii="Arial" w:hAnsi="Arial" w:cs="Arial"/>
        </w:rPr>
      </w:pPr>
      <w:r w:rsidRPr="00732CE4">
        <w:rPr>
          <w:rFonts w:ascii="Arial" w:hAnsi="Arial" w:cs="Arial"/>
        </w:rPr>
        <w:t>Non sono ammesse le offerte espresse in modo indeterminato, non sottoscritte e/o condizionate.</w:t>
      </w:r>
    </w:p>
    <w:p w:rsidR="00FB5315" w:rsidRPr="00732CE4" w:rsidRDefault="00FB5315" w:rsidP="00DA6D3C">
      <w:pPr>
        <w:ind w:right="-1"/>
        <w:jc w:val="both"/>
        <w:rPr>
          <w:rFonts w:ascii="Arial" w:hAnsi="Arial" w:cs="Arial"/>
        </w:rPr>
      </w:pPr>
    </w:p>
    <w:p w:rsidR="00FB5315" w:rsidRPr="00044D5F" w:rsidRDefault="00FB5315" w:rsidP="00DA6D3C">
      <w:pPr>
        <w:pStyle w:val="BodyText"/>
        <w:spacing w:line="240" w:lineRule="auto"/>
        <w:ind w:right="-1"/>
        <w:jc w:val="both"/>
        <w:rPr>
          <w:rFonts w:ascii="Arial" w:hAnsi="Arial" w:cs="Arial"/>
          <w:sz w:val="20"/>
          <w:szCs w:val="20"/>
        </w:rPr>
      </w:pPr>
      <w:r w:rsidRPr="00044D5F">
        <w:rPr>
          <w:rFonts w:ascii="Arial" w:hAnsi="Arial" w:cs="Arial"/>
          <w:sz w:val="20"/>
          <w:szCs w:val="20"/>
        </w:rPr>
        <w:t xml:space="preserve">La normativa, le condizioni di assicurazione, le franchigie, gli scoperti e i limiti di indennizzo/risarcimento sono quelli contenuti nei Capitolati Speciali tecnici. </w:t>
      </w:r>
    </w:p>
    <w:p w:rsidR="00FB5315" w:rsidRPr="00732CE4" w:rsidRDefault="00FB5315" w:rsidP="00DA6D3C">
      <w:pPr>
        <w:pStyle w:val="BodyText"/>
        <w:spacing w:line="240" w:lineRule="auto"/>
        <w:ind w:right="-1"/>
        <w:jc w:val="both"/>
        <w:rPr>
          <w:rFonts w:ascii="Arial" w:hAnsi="Arial" w:cs="Arial"/>
          <w:sz w:val="20"/>
          <w:szCs w:val="20"/>
        </w:rPr>
      </w:pPr>
      <w:r w:rsidRPr="00044D5F">
        <w:rPr>
          <w:rFonts w:ascii="Arial" w:hAnsi="Arial" w:cs="Arial"/>
          <w:sz w:val="20"/>
          <w:szCs w:val="20"/>
        </w:rPr>
        <w:t xml:space="preserve">L’accettazione integrale dei predetti elementi deve essere attestata utilizzando il modello denominato </w:t>
      </w:r>
      <w:r w:rsidRPr="00044D5F">
        <w:rPr>
          <w:rFonts w:ascii="Arial" w:hAnsi="Arial" w:cs="Arial"/>
          <w:b/>
          <w:bCs/>
          <w:sz w:val="20"/>
          <w:szCs w:val="20"/>
        </w:rPr>
        <w:t>“Scheda di Offerta tecnica – Accettazione capitolato”</w:t>
      </w:r>
      <w:r w:rsidRPr="00044D5F">
        <w:rPr>
          <w:rFonts w:ascii="Arial" w:hAnsi="Arial" w:cs="Arial"/>
          <w:sz w:val="20"/>
          <w:szCs w:val="20"/>
        </w:rPr>
        <w:t xml:space="preserve"> allegato </w:t>
      </w:r>
      <w:r w:rsidRPr="00044D5F">
        <w:rPr>
          <w:rFonts w:ascii="Arial" w:hAnsi="Arial" w:cs="Arial"/>
          <w:b/>
          <w:bCs/>
          <w:sz w:val="20"/>
          <w:szCs w:val="20"/>
        </w:rPr>
        <w:t>(C).</w:t>
      </w:r>
    </w:p>
    <w:p w:rsidR="00FB5315" w:rsidRPr="00732CE4" w:rsidRDefault="00FB5315" w:rsidP="00DA6D3C">
      <w:pPr>
        <w:pStyle w:val="BodyText"/>
        <w:spacing w:line="240" w:lineRule="auto"/>
        <w:ind w:right="-1"/>
        <w:jc w:val="both"/>
        <w:rPr>
          <w:rFonts w:ascii="Arial" w:hAnsi="Arial" w:cs="Arial"/>
          <w:color w:val="000000"/>
          <w:sz w:val="20"/>
          <w:szCs w:val="20"/>
          <w:shd w:val="clear" w:color="auto" w:fill="FFFF00"/>
        </w:rPr>
      </w:pPr>
      <w:r>
        <w:rPr>
          <w:rFonts w:ascii="Arial" w:hAnsi="Arial" w:cs="Arial"/>
          <w:sz w:val="20"/>
          <w:szCs w:val="20"/>
        </w:rPr>
        <w:t>Eventuali</w:t>
      </w:r>
      <w:r w:rsidRPr="007E582C">
        <w:rPr>
          <w:rFonts w:ascii="Arial" w:hAnsi="Arial" w:cs="Arial"/>
          <w:sz w:val="20"/>
          <w:szCs w:val="20"/>
        </w:rPr>
        <w:t xml:space="preserve"> proposte di varianti peggiorative o migliorative inerenti la singola copertura assicurativa dovranno essere formulate utilizzando, rispettivamente, i modelli denominati</w:t>
      </w:r>
      <w:r w:rsidRPr="007E582C">
        <w:rPr>
          <w:rFonts w:ascii="Arial" w:hAnsi="Arial" w:cs="Arial"/>
          <w:b/>
          <w:bCs/>
          <w:sz w:val="20"/>
          <w:szCs w:val="20"/>
        </w:rPr>
        <w:t xml:space="preserve"> </w:t>
      </w:r>
      <w:r w:rsidRPr="007E582C">
        <w:rPr>
          <w:rFonts w:ascii="Arial" w:hAnsi="Arial" w:cs="Arial"/>
          <w:sz w:val="20"/>
          <w:szCs w:val="20"/>
        </w:rPr>
        <w:t>“</w:t>
      </w:r>
      <w:r w:rsidRPr="007E582C">
        <w:rPr>
          <w:rFonts w:ascii="Arial" w:hAnsi="Arial" w:cs="Arial"/>
          <w:b/>
          <w:bCs/>
          <w:sz w:val="20"/>
          <w:szCs w:val="20"/>
        </w:rPr>
        <w:t>Scheda di Offerta tecnica – Varianti Peggiorative</w:t>
      </w:r>
      <w:r w:rsidRPr="007E582C">
        <w:rPr>
          <w:rFonts w:ascii="Arial" w:hAnsi="Arial" w:cs="Arial"/>
          <w:sz w:val="20"/>
          <w:szCs w:val="20"/>
        </w:rPr>
        <w:t xml:space="preserve">” allegato </w:t>
      </w:r>
      <w:r w:rsidRPr="007E582C">
        <w:rPr>
          <w:rFonts w:ascii="Arial" w:hAnsi="Arial" w:cs="Arial"/>
          <w:b/>
          <w:bCs/>
          <w:sz w:val="20"/>
          <w:szCs w:val="20"/>
        </w:rPr>
        <w:t xml:space="preserve">(C1) </w:t>
      </w:r>
      <w:r w:rsidRPr="007E582C">
        <w:rPr>
          <w:rFonts w:ascii="Arial" w:hAnsi="Arial" w:cs="Arial"/>
          <w:sz w:val="20"/>
          <w:szCs w:val="20"/>
        </w:rPr>
        <w:t>e “</w:t>
      </w:r>
      <w:r w:rsidRPr="007E582C">
        <w:rPr>
          <w:rFonts w:ascii="Arial" w:hAnsi="Arial" w:cs="Arial"/>
          <w:b/>
          <w:bCs/>
          <w:sz w:val="20"/>
          <w:szCs w:val="20"/>
        </w:rPr>
        <w:t>Scheda di Offerta tecnica – Varianti Migliorative</w:t>
      </w:r>
      <w:r w:rsidRPr="007E582C">
        <w:rPr>
          <w:rFonts w:ascii="Arial" w:hAnsi="Arial" w:cs="Arial"/>
          <w:sz w:val="20"/>
          <w:szCs w:val="20"/>
        </w:rPr>
        <w:t>”</w:t>
      </w:r>
      <w:r w:rsidRPr="007E582C">
        <w:rPr>
          <w:rFonts w:ascii="Arial" w:hAnsi="Arial" w:cs="Arial"/>
          <w:b/>
          <w:bCs/>
          <w:sz w:val="20"/>
          <w:szCs w:val="20"/>
        </w:rPr>
        <w:t>,</w:t>
      </w:r>
      <w:r w:rsidRPr="007E582C">
        <w:rPr>
          <w:rFonts w:ascii="Arial" w:hAnsi="Arial" w:cs="Arial"/>
          <w:sz w:val="20"/>
          <w:szCs w:val="20"/>
        </w:rPr>
        <w:t xml:space="preserve"> allegato </w:t>
      </w:r>
      <w:r w:rsidRPr="007E582C">
        <w:rPr>
          <w:rFonts w:ascii="Arial" w:hAnsi="Arial" w:cs="Arial"/>
          <w:b/>
          <w:bCs/>
          <w:sz w:val="20"/>
          <w:szCs w:val="20"/>
        </w:rPr>
        <w:t>(C2)</w:t>
      </w:r>
      <w:r w:rsidRPr="007E582C">
        <w:rPr>
          <w:rFonts w:ascii="Arial" w:hAnsi="Arial" w:cs="Arial"/>
          <w:sz w:val="20"/>
          <w:szCs w:val="20"/>
        </w:rPr>
        <w:t>. Le varianti che saranno accettate, dovranno essere riportate integralmente nelle polizze definitive dalla/e Società aggiudicataria/e</w:t>
      </w:r>
      <w:r w:rsidRPr="007E582C">
        <w:rPr>
          <w:rFonts w:ascii="Arial" w:hAnsi="Arial" w:cs="Arial"/>
          <w:color w:val="000000"/>
          <w:sz w:val="20"/>
          <w:szCs w:val="20"/>
        </w:rPr>
        <w:t>.</w:t>
      </w:r>
    </w:p>
    <w:p w:rsidR="00FB5315" w:rsidRPr="00732CE4" w:rsidRDefault="00FB5315" w:rsidP="00DA6D3C">
      <w:pPr>
        <w:ind w:right="-1"/>
        <w:jc w:val="both"/>
        <w:rPr>
          <w:rFonts w:ascii="Arial" w:hAnsi="Arial" w:cs="Arial"/>
        </w:rPr>
      </w:pPr>
      <w:r w:rsidRPr="00732CE4">
        <w:rPr>
          <w:rFonts w:ascii="Arial" w:hAnsi="Arial" w:cs="Arial"/>
        </w:rPr>
        <w:t>L’offerta economica dovrà essere redatta utilizzando il modello denominato “</w:t>
      </w:r>
      <w:r w:rsidRPr="00732CE4">
        <w:rPr>
          <w:rFonts w:ascii="Arial" w:hAnsi="Arial" w:cs="Arial"/>
          <w:b/>
          <w:bCs/>
          <w:u w:val="single"/>
        </w:rPr>
        <w:t>Sched</w:t>
      </w:r>
      <w:r>
        <w:rPr>
          <w:rFonts w:ascii="Arial" w:hAnsi="Arial" w:cs="Arial"/>
          <w:b/>
          <w:bCs/>
          <w:u w:val="single"/>
        </w:rPr>
        <w:t>a</w:t>
      </w:r>
      <w:r w:rsidRPr="00732CE4">
        <w:rPr>
          <w:rFonts w:ascii="Arial" w:hAnsi="Arial" w:cs="Arial"/>
          <w:b/>
          <w:bCs/>
          <w:u w:val="single"/>
        </w:rPr>
        <w:t xml:space="preserve"> di Offerta Economica</w:t>
      </w:r>
      <w:r w:rsidRPr="00732CE4">
        <w:rPr>
          <w:rFonts w:ascii="Arial" w:hAnsi="Arial" w:cs="Arial"/>
        </w:rPr>
        <w:t>”</w:t>
      </w:r>
      <w:r w:rsidRPr="00732CE4">
        <w:rPr>
          <w:rFonts w:ascii="Arial" w:hAnsi="Arial" w:cs="Arial"/>
          <w:b/>
          <w:bCs/>
        </w:rPr>
        <w:t>,</w:t>
      </w:r>
      <w:r w:rsidRPr="00732CE4">
        <w:rPr>
          <w:rFonts w:ascii="Arial" w:hAnsi="Arial" w:cs="Arial"/>
        </w:rPr>
        <w:t xml:space="preserve"> </w:t>
      </w:r>
      <w:r>
        <w:rPr>
          <w:rFonts w:ascii="Arial" w:hAnsi="Arial" w:cs="Arial"/>
        </w:rPr>
        <w:t>allegato</w:t>
      </w:r>
      <w:r w:rsidRPr="00732CE4">
        <w:rPr>
          <w:rFonts w:ascii="Arial" w:hAnsi="Arial" w:cs="Arial"/>
        </w:rPr>
        <w:t xml:space="preserve"> </w:t>
      </w:r>
      <w:r w:rsidRPr="00732CE4">
        <w:rPr>
          <w:rFonts w:ascii="Arial" w:hAnsi="Arial" w:cs="Arial"/>
          <w:b/>
          <w:bCs/>
        </w:rPr>
        <w:t>(D)</w:t>
      </w:r>
      <w:r w:rsidRPr="00732CE4">
        <w:rPr>
          <w:rFonts w:ascii="Arial" w:hAnsi="Arial" w:cs="Arial"/>
        </w:rPr>
        <w:t xml:space="preserve"> al presente Bando</w:t>
      </w:r>
      <w:r>
        <w:rPr>
          <w:rFonts w:ascii="Arial" w:hAnsi="Arial" w:cs="Arial"/>
        </w:rPr>
        <w:t xml:space="preserve"> </w:t>
      </w:r>
      <w:r w:rsidRPr="00732CE4">
        <w:rPr>
          <w:rFonts w:ascii="Arial" w:hAnsi="Arial" w:cs="Arial"/>
        </w:rPr>
        <w:t>- Disciplinare.</w:t>
      </w:r>
    </w:p>
    <w:p w:rsidR="00FB5315" w:rsidRDefault="00FB5315" w:rsidP="00DA6D3C">
      <w:pPr>
        <w:ind w:right="-1"/>
        <w:jc w:val="both"/>
        <w:rPr>
          <w:rFonts w:ascii="Arial" w:hAnsi="Arial" w:cs="Arial"/>
        </w:rPr>
      </w:pPr>
    </w:p>
    <w:p w:rsidR="00FB5315" w:rsidRPr="00732CE4" w:rsidRDefault="00FB5315" w:rsidP="00DA6D3C">
      <w:pPr>
        <w:ind w:right="-1"/>
        <w:jc w:val="both"/>
        <w:rPr>
          <w:rFonts w:ascii="Arial" w:hAnsi="Arial" w:cs="Arial"/>
        </w:rPr>
      </w:pPr>
    </w:p>
    <w:p w:rsidR="00FB5315" w:rsidRPr="00ED7240" w:rsidRDefault="00FB5315" w:rsidP="00DA6D3C">
      <w:pPr>
        <w:pBdr>
          <w:top w:val="single" w:sz="6" w:space="2" w:color="auto" w:shadow="1"/>
          <w:left w:val="single" w:sz="6" w:space="4" w:color="auto" w:shadow="1"/>
          <w:bottom w:val="single" w:sz="6" w:space="1" w:color="auto" w:shadow="1"/>
          <w:right w:val="single" w:sz="6" w:space="10" w:color="auto" w:shadow="1"/>
        </w:pBdr>
        <w:tabs>
          <w:tab w:val="left" w:pos="8789"/>
        </w:tabs>
        <w:ind w:right="283"/>
        <w:jc w:val="center"/>
        <w:rPr>
          <w:rFonts w:ascii="Arial" w:hAnsi="Arial" w:cs="Arial"/>
          <w:b/>
          <w:bCs/>
          <w:color w:val="000000"/>
        </w:rPr>
      </w:pPr>
      <w:r w:rsidRPr="00732CE4">
        <w:rPr>
          <w:rFonts w:ascii="Arial" w:hAnsi="Arial" w:cs="Arial"/>
          <w:b/>
          <w:bCs/>
          <w:color w:val="000000"/>
        </w:rPr>
        <w:t>PARAMETRI DI VALUTAZIONE ED ATTRIBUZIONE PUNTEGGI</w:t>
      </w:r>
    </w:p>
    <w:p w:rsidR="00FB5315" w:rsidRPr="00732CE4" w:rsidRDefault="00FB5315" w:rsidP="00DA6D3C">
      <w:pPr>
        <w:ind w:right="283"/>
        <w:jc w:val="both"/>
        <w:rPr>
          <w:rFonts w:ascii="Arial" w:hAnsi="Arial" w:cs="Arial"/>
        </w:rPr>
      </w:pPr>
    </w:p>
    <w:p w:rsidR="00FB5315" w:rsidRPr="00732CE4" w:rsidRDefault="00FB5315" w:rsidP="00DA6D3C">
      <w:pPr>
        <w:pStyle w:val="Subtitle"/>
        <w:jc w:val="both"/>
        <w:rPr>
          <w:rFonts w:ascii="Arial" w:hAnsi="Arial" w:cs="Arial"/>
          <w:b w:val="0"/>
          <w:bCs w:val="0"/>
          <w:sz w:val="20"/>
          <w:szCs w:val="20"/>
        </w:rPr>
      </w:pPr>
      <w:r w:rsidRPr="00732CE4">
        <w:rPr>
          <w:rFonts w:ascii="Arial" w:hAnsi="Arial" w:cs="Arial"/>
          <w:b w:val="0"/>
          <w:bCs w:val="0"/>
          <w:sz w:val="20"/>
          <w:szCs w:val="20"/>
        </w:rPr>
        <w:t xml:space="preserve">Fermo il criterio di aggiudicazione, </w:t>
      </w:r>
      <w:r w:rsidRPr="00732CE4">
        <w:rPr>
          <w:rFonts w:ascii="Arial" w:hAnsi="Arial" w:cs="Arial"/>
          <w:sz w:val="20"/>
          <w:szCs w:val="20"/>
          <w:u w:val="single"/>
        </w:rPr>
        <w:t>per il “lotto Unico indivisibile” e per ogni capitolato tecnico</w:t>
      </w:r>
      <w:r w:rsidRPr="00732CE4">
        <w:rPr>
          <w:rFonts w:ascii="Arial" w:hAnsi="Arial" w:cs="Arial"/>
          <w:b w:val="0"/>
          <w:bCs w:val="0"/>
          <w:sz w:val="20"/>
          <w:szCs w:val="20"/>
        </w:rPr>
        <w:t>, saranno applicati i seguenti parametri di valutazione.</w:t>
      </w:r>
    </w:p>
    <w:p w:rsidR="00FB5315" w:rsidRPr="00732CE4" w:rsidRDefault="00FB5315" w:rsidP="00DA6D3C">
      <w:pPr>
        <w:pStyle w:val="Subtitle"/>
        <w:jc w:val="both"/>
        <w:rPr>
          <w:rFonts w:ascii="Arial" w:hAnsi="Arial" w:cs="Arial"/>
          <w:b w:val="0"/>
          <w:bCs w:val="0"/>
          <w:sz w:val="20"/>
          <w:szCs w:val="20"/>
        </w:rPr>
      </w:pPr>
    </w:p>
    <w:tbl>
      <w:tblPr>
        <w:tblW w:w="90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5"/>
        <w:gridCol w:w="6415"/>
        <w:gridCol w:w="2160"/>
      </w:tblGrid>
      <w:tr w:rsidR="00FB5315" w:rsidRPr="00732CE4">
        <w:tc>
          <w:tcPr>
            <w:tcW w:w="6840" w:type="dxa"/>
            <w:gridSpan w:val="2"/>
          </w:tcPr>
          <w:p w:rsidR="00FB5315" w:rsidRPr="00732CE4" w:rsidRDefault="00FB5315" w:rsidP="00711CF2">
            <w:pPr>
              <w:ind w:right="214"/>
              <w:jc w:val="both"/>
              <w:rPr>
                <w:rFonts w:ascii="Arial" w:hAnsi="Arial" w:cs="Arial"/>
              </w:rPr>
            </w:pPr>
            <w:r w:rsidRPr="00732CE4">
              <w:rPr>
                <w:rFonts w:ascii="Arial" w:hAnsi="Arial" w:cs="Arial"/>
              </w:rPr>
              <w:t>Parametro</w:t>
            </w:r>
          </w:p>
        </w:tc>
        <w:tc>
          <w:tcPr>
            <w:tcW w:w="2160" w:type="dxa"/>
          </w:tcPr>
          <w:p w:rsidR="00FB5315" w:rsidRPr="00732CE4" w:rsidRDefault="00FB5315" w:rsidP="00711CF2">
            <w:pPr>
              <w:jc w:val="both"/>
              <w:rPr>
                <w:rFonts w:ascii="Arial" w:hAnsi="Arial" w:cs="Arial"/>
              </w:rPr>
            </w:pPr>
            <w:r w:rsidRPr="00732CE4">
              <w:rPr>
                <w:rFonts w:ascii="Arial" w:hAnsi="Arial" w:cs="Arial"/>
              </w:rPr>
              <w:t>Punteggio massimo</w:t>
            </w:r>
          </w:p>
        </w:tc>
      </w:tr>
      <w:tr w:rsidR="00FB5315" w:rsidRPr="00732CE4">
        <w:tc>
          <w:tcPr>
            <w:tcW w:w="425" w:type="dxa"/>
          </w:tcPr>
          <w:p w:rsidR="00FB5315" w:rsidRPr="00732CE4" w:rsidRDefault="00FB5315" w:rsidP="00711CF2">
            <w:pPr>
              <w:ind w:right="-70"/>
              <w:jc w:val="both"/>
              <w:rPr>
                <w:rFonts w:ascii="Arial" w:hAnsi="Arial" w:cs="Arial"/>
              </w:rPr>
            </w:pPr>
            <w:r w:rsidRPr="00732CE4">
              <w:rPr>
                <w:rFonts w:ascii="Arial" w:hAnsi="Arial" w:cs="Arial"/>
              </w:rPr>
              <w:t>A)</w:t>
            </w:r>
          </w:p>
        </w:tc>
        <w:tc>
          <w:tcPr>
            <w:tcW w:w="6415" w:type="dxa"/>
          </w:tcPr>
          <w:p w:rsidR="00FB5315" w:rsidRPr="00732CE4" w:rsidRDefault="00FB5315" w:rsidP="00711CF2">
            <w:pPr>
              <w:ind w:right="214"/>
              <w:jc w:val="both"/>
              <w:rPr>
                <w:rFonts w:ascii="Arial" w:hAnsi="Arial" w:cs="Arial"/>
              </w:rPr>
            </w:pPr>
            <w:r w:rsidRPr="00732CE4">
              <w:rPr>
                <w:rFonts w:ascii="Arial" w:hAnsi="Arial" w:cs="Arial"/>
              </w:rPr>
              <w:t>Merito tecnico (varianti)</w:t>
            </w:r>
          </w:p>
        </w:tc>
        <w:tc>
          <w:tcPr>
            <w:tcW w:w="2160" w:type="dxa"/>
          </w:tcPr>
          <w:p w:rsidR="00FB5315" w:rsidRPr="00ED7240" w:rsidRDefault="00FB5315" w:rsidP="00711CF2">
            <w:pPr>
              <w:jc w:val="both"/>
              <w:rPr>
                <w:rFonts w:ascii="Arial" w:hAnsi="Arial" w:cs="Arial"/>
              </w:rPr>
            </w:pPr>
            <w:r w:rsidRPr="00ED7240">
              <w:rPr>
                <w:rFonts w:ascii="Arial" w:hAnsi="Arial" w:cs="Arial"/>
              </w:rPr>
              <w:t>70 punti</w:t>
            </w:r>
          </w:p>
        </w:tc>
      </w:tr>
      <w:tr w:rsidR="00FB5315" w:rsidRPr="00732CE4">
        <w:tc>
          <w:tcPr>
            <w:tcW w:w="425" w:type="dxa"/>
          </w:tcPr>
          <w:p w:rsidR="00FB5315" w:rsidRPr="00732CE4" w:rsidRDefault="00FB5315" w:rsidP="00711CF2">
            <w:pPr>
              <w:ind w:right="-70"/>
              <w:jc w:val="both"/>
              <w:rPr>
                <w:rFonts w:ascii="Arial" w:hAnsi="Arial" w:cs="Arial"/>
              </w:rPr>
            </w:pPr>
            <w:r w:rsidRPr="00732CE4">
              <w:rPr>
                <w:rFonts w:ascii="Arial" w:hAnsi="Arial" w:cs="Arial"/>
              </w:rPr>
              <w:t>B)</w:t>
            </w:r>
          </w:p>
        </w:tc>
        <w:tc>
          <w:tcPr>
            <w:tcW w:w="6415" w:type="dxa"/>
          </w:tcPr>
          <w:p w:rsidR="00FB5315" w:rsidRPr="00732CE4" w:rsidRDefault="00FB5315" w:rsidP="00711CF2">
            <w:pPr>
              <w:ind w:right="214"/>
              <w:jc w:val="both"/>
              <w:rPr>
                <w:rFonts w:ascii="Arial" w:hAnsi="Arial" w:cs="Arial"/>
              </w:rPr>
            </w:pPr>
            <w:r w:rsidRPr="00732CE4">
              <w:rPr>
                <w:rFonts w:ascii="Arial" w:hAnsi="Arial" w:cs="Arial"/>
              </w:rPr>
              <w:t>Offerta Economica (prezzo)</w:t>
            </w:r>
          </w:p>
        </w:tc>
        <w:tc>
          <w:tcPr>
            <w:tcW w:w="2160" w:type="dxa"/>
          </w:tcPr>
          <w:p w:rsidR="00FB5315" w:rsidRPr="00ED7240" w:rsidRDefault="00FB5315" w:rsidP="00711CF2">
            <w:pPr>
              <w:jc w:val="both"/>
              <w:rPr>
                <w:rFonts w:ascii="Arial" w:hAnsi="Arial" w:cs="Arial"/>
              </w:rPr>
            </w:pPr>
            <w:r w:rsidRPr="00ED7240">
              <w:rPr>
                <w:rFonts w:ascii="Arial" w:hAnsi="Arial" w:cs="Arial"/>
              </w:rPr>
              <w:t>30 punti</w:t>
            </w:r>
          </w:p>
        </w:tc>
      </w:tr>
      <w:tr w:rsidR="00FB5315" w:rsidRPr="00732C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214"/>
        </w:trPr>
        <w:tc>
          <w:tcPr>
            <w:tcW w:w="6415" w:type="dxa"/>
            <w:gridSpan w:val="2"/>
            <w:tcBorders>
              <w:top w:val="single" w:sz="4" w:space="0" w:color="auto"/>
              <w:left w:val="single" w:sz="4" w:space="0" w:color="auto"/>
              <w:bottom w:val="single" w:sz="4" w:space="0" w:color="auto"/>
              <w:right w:val="single" w:sz="4" w:space="0" w:color="auto"/>
            </w:tcBorders>
          </w:tcPr>
          <w:p w:rsidR="00FB5315" w:rsidRPr="00732CE4" w:rsidRDefault="00FB5315" w:rsidP="00711CF2">
            <w:pPr>
              <w:jc w:val="both"/>
              <w:rPr>
                <w:rFonts w:ascii="Arial" w:hAnsi="Arial" w:cs="Arial"/>
                <w:b/>
                <w:bCs/>
              </w:rPr>
            </w:pPr>
            <w:r w:rsidRPr="00732CE4">
              <w:rPr>
                <w:rFonts w:ascii="Arial" w:hAnsi="Arial" w:cs="Arial"/>
                <w:b/>
                <w:bCs/>
              </w:rPr>
              <w:t>TOTALE</w:t>
            </w:r>
          </w:p>
        </w:tc>
        <w:tc>
          <w:tcPr>
            <w:tcW w:w="2160" w:type="dxa"/>
            <w:tcBorders>
              <w:top w:val="single" w:sz="4" w:space="0" w:color="auto"/>
              <w:left w:val="single" w:sz="4" w:space="0" w:color="auto"/>
              <w:bottom w:val="single" w:sz="4" w:space="0" w:color="auto"/>
              <w:right w:val="single" w:sz="4" w:space="0" w:color="auto"/>
            </w:tcBorders>
          </w:tcPr>
          <w:p w:rsidR="00FB5315" w:rsidRPr="00732CE4" w:rsidRDefault="00FB5315" w:rsidP="00711CF2">
            <w:pPr>
              <w:jc w:val="both"/>
              <w:rPr>
                <w:rFonts w:ascii="Arial" w:hAnsi="Arial" w:cs="Arial"/>
                <w:b/>
                <w:bCs/>
              </w:rPr>
            </w:pPr>
            <w:r w:rsidRPr="00732CE4">
              <w:rPr>
                <w:rFonts w:ascii="Arial" w:hAnsi="Arial" w:cs="Arial"/>
                <w:b/>
                <w:bCs/>
              </w:rPr>
              <w:t>100 punti</w:t>
            </w:r>
          </w:p>
        </w:tc>
      </w:tr>
    </w:tbl>
    <w:p w:rsidR="00FB5315" w:rsidRPr="00732CE4" w:rsidRDefault="00FB5315" w:rsidP="00DA6D3C">
      <w:pPr>
        <w:spacing w:after="120"/>
        <w:jc w:val="both"/>
        <w:rPr>
          <w:rFonts w:ascii="Arial" w:hAnsi="Arial" w:cs="Arial"/>
          <w:b/>
          <w:bCs/>
        </w:rPr>
      </w:pPr>
    </w:p>
    <w:p w:rsidR="00FB5315" w:rsidRPr="00732CE4" w:rsidRDefault="00FB5315" w:rsidP="00DA6D3C">
      <w:pPr>
        <w:spacing w:after="120"/>
        <w:jc w:val="both"/>
        <w:rPr>
          <w:rFonts w:ascii="Arial" w:hAnsi="Arial" w:cs="Arial"/>
          <w:b/>
          <w:bCs/>
        </w:rPr>
      </w:pPr>
      <w:r w:rsidRPr="00732CE4">
        <w:rPr>
          <w:rFonts w:ascii="Arial" w:hAnsi="Arial" w:cs="Arial"/>
          <w:color w:val="000000"/>
        </w:rPr>
        <w:t>La commissione valuterà le offerte tecniche ed economiche e procederà all’assegnazione dei punteggi applicando i criteri e le formule indicate nel presente articolo per il “Lotto Unico indivisibile” e per ogni capitolato tecnico.</w:t>
      </w:r>
    </w:p>
    <w:p w:rsidR="00FB5315" w:rsidRPr="00732CE4" w:rsidRDefault="00FB5315" w:rsidP="00DA6D3C">
      <w:pPr>
        <w:spacing w:after="120"/>
        <w:jc w:val="both"/>
        <w:rPr>
          <w:rFonts w:ascii="Arial" w:hAnsi="Arial" w:cs="Arial"/>
          <w:b/>
          <w:bCs/>
        </w:rPr>
      </w:pPr>
    </w:p>
    <w:p w:rsidR="00FB5315" w:rsidRPr="00044D5F" w:rsidRDefault="00FB5315" w:rsidP="00DA6D3C">
      <w:pPr>
        <w:spacing w:after="120"/>
        <w:jc w:val="both"/>
        <w:rPr>
          <w:rFonts w:ascii="Arial" w:hAnsi="Arial" w:cs="Arial"/>
          <w:b/>
          <w:bCs/>
        </w:rPr>
      </w:pPr>
      <w:r w:rsidRPr="00044D5F">
        <w:rPr>
          <w:rFonts w:ascii="Arial" w:hAnsi="Arial" w:cs="Arial"/>
          <w:b/>
          <w:bCs/>
        </w:rPr>
        <w:t>A) Merito Tecnico – Massimo 70 punti</w:t>
      </w:r>
    </w:p>
    <w:p w:rsidR="00FB5315" w:rsidRPr="00044D5F" w:rsidRDefault="00FB5315" w:rsidP="00DA6D3C">
      <w:pPr>
        <w:jc w:val="both"/>
        <w:rPr>
          <w:rFonts w:ascii="Arial" w:hAnsi="Arial" w:cs="Arial"/>
        </w:rPr>
      </w:pPr>
      <w:r w:rsidRPr="00044D5F">
        <w:rPr>
          <w:rFonts w:ascii="Arial" w:hAnsi="Arial" w:cs="Arial"/>
        </w:rPr>
        <w:t>In tale ambito si precisa che:</w:t>
      </w:r>
    </w:p>
    <w:p w:rsidR="00FB5315" w:rsidRPr="00044D5F" w:rsidRDefault="00FB5315" w:rsidP="00DA6D3C">
      <w:pPr>
        <w:jc w:val="both"/>
        <w:rPr>
          <w:rFonts w:ascii="Arial" w:hAnsi="Arial" w:cs="Arial"/>
        </w:rPr>
      </w:pPr>
    </w:p>
    <w:p w:rsidR="00FB5315" w:rsidRPr="00732CE4" w:rsidRDefault="00FB5315" w:rsidP="00DA6D3C">
      <w:pPr>
        <w:numPr>
          <w:ilvl w:val="0"/>
          <w:numId w:val="1"/>
        </w:numPr>
        <w:spacing w:after="120"/>
        <w:jc w:val="both"/>
        <w:rPr>
          <w:rFonts w:ascii="Arial" w:hAnsi="Arial" w:cs="Arial"/>
        </w:rPr>
      </w:pPr>
      <w:r w:rsidRPr="00044D5F">
        <w:rPr>
          <w:rFonts w:ascii="Arial" w:hAnsi="Arial" w:cs="Arial"/>
          <w:color w:val="000000"/>
        </w:rPr>
        <w:t>costituisce variante la modifica di un singolo articolo di polizza, pertanto varianti che incidano su una pluralità di articoli, anche se presentate dal concorrente come unica variante, verranno conteggiate come una pluralità di varianti in numero pari agli articoli che</w:t>
      </w:r>
      <w:r w:rsidRPr="00732CE4">
        <w:rPr>
          <w:rFonts w:ascii="Arial" w:hAnsi="Arial" w:cs="Arial"/>
          <w:color w:val="000000"/>
        </w:rPr>
        <w:t xml:space="preserve"> vanno a modificare</w:t>
      </w:r>
      <w:r>
        <w:rPr>
          <w:rFonts w:ascii="Arial" w:hAnsi="Arial" w:cs="Arial"/>
          <w:color w:val="000000"/>
        </w:rPr>
        <w:t>;</w:t>
      </w:r>
    </w:p>
    <w:p w:rsidR="00FB5315" w:rsidRPr="00732CE4" w:rsidRDefault="00FB5315" w:rsidP="00DA6D3C">
      <w:pPr>
        <w:numPr>
          <w:ilvl w:val="0"/>
          <w:numId w:val="1"/>
        </w:numPr>
        <w:spacing w:after="120"/>
        <w:jc w:val="both"/>
        <w:rPr>
          <w:rFonts w:ascii="Arial" w:hAnsi="Arial" w:cs="Arial"/>
        </w:rPr>
      </w:pPr>
      <w:r>
        <w:rPr>
          <w:rFonts w:ascii="Arial" w:hAnsi="Arial" w:cs="Arial"/>
        </w:rPr>
        <w:t>n</w:t>
      </w:r>
      <w:r w:rsidRPr="00732CE4">
        <w:rPr>
          <w:rFonts w:ascii="Arial" w:hAnsi="Arial" w:cs="Arial"/>
        </w:rPr>
        <w:t xml:space="preserve">el caso di </w:t>
      </w:r>
      <w:r w:rsidRPr="00732CE4">
        <w:rPr>
          <w:rFonts w:ascii="Arial" w:hAnsi="Arial" w:cs="Arial"/>
          <w:b/>
          <w:bCs/>
        </w:rPr>
        <w:t>accettazione integrale</w:t>
      </w:r>
      <w:r w:rsidRPr="00732CE4">
        <w:rPr>
          <w:rFonts w:ascii="Arial" w:hAnsi="Arial" w:cs="Arial"/>
        </w:rPr>
        <w:t xml:space="preserve"> del c</w:t>
      </w:r>
      <w:r>
        <w:rPr>
          <w:rFonts w:ascii="Arial" w:hAnsi="Arial" w:cs="Arial"/>
        </w:rPr>
        <w:t>apitolato tecnico verrà</w:t>
      </w:r>
      <w:r w:rsidRPr="00732CE4">
        <w:rPr>
          <w:rFonts w:ascii="Arial" w:hAnsi="Arial" w:cs="Arial"/>
        </w:rPr>
        <w:t xml:space="preserve"> attribuito il </w:t>
      </w:r>
      <w:r w:rsidRPr="00732CE4">
        <w:rPr>
          <w:rFonts w:ascii="Arial" w:hAnsi="Arial" w:cs="Arial"/>
          <w:b/>
          <w:bCs/>
        </w:rPr>
        <w:t>punteggio massimo di 65 punti</w:t>
      </w:r>
      <w:r w:rsidRPr="00732CE4">
        <w:rPr>
          <w:rFonts w:ascii="Arial" w:hAnsi="Arial" w:cs="Arial"/>
        </w:rPr>
        <w:t>;</w:t>
      </w:r>
    </w:p>
    <w:p w:rsidR="00FB5315" w:rsidRPr="00732CE4" w:rsidRDefault="00FB5315" w:rsidP="00DA6D3C">
      <w:pPr>
        <w:numPr>
          <w:ilvl w:val="0"/>
          <w:numId w:val="1"/>
        </w:numPr>
        <w:spacing w:after="120"/>
        <w:jc w:val="both"/>
        <w:rPr>
          <w:rFonts w:ascii="Arial" w:hAnsi="Arial" w:cs="Arial"/>
        </w:rPr>
      </w:pPr>
      <w:r>
        <w:rPr>
          <w:rFonts w:ascii="Arial" w:hAnsi="Arial" w:cs="Arial"/>
          <w:b/>
          <w:bCs/>
        </w:rPr>
        <w:t>s</w:t>
      </w:r>
      <w:r w:rsidRPr="00732CE4">
        <w:rPr>
          <w:rFonts w:ascii="Arial" w:hAnsi="Arial" w:cs="Arial"/>
          <w:b/>
          <w:bCs/>
        </w:rPr>
        <w:t>ono ammesse varianti migliorative in numero massimo pari a 5</w:t>
      </w:r>
      <w:r w:rsidRPr="00732CE4">
        <w:rPr>
          <w:rFonts w:ascii="Arial" w:hAnsi="Arial" w:cs="Arial"/>
        </w:rPr>
        <w:t>. I</w:t>
      </w:r>
      <w:r w:rsidRPr="00732CE4">
        <w:rPr>
          <w:rFonts w:ascii="Arial" w:hAnsi="Arial" w:cs="Arial"/>
          <w:b/>
          <w:bCs/>
        </w:rPr>
        <w:t xml:space="preserve">l punteggio massimo attribuibile per le varianti migliorative è comunque pari a 5 </w:t>
      </w:r>
      <w:r w:rsidRPr="00732CE4">
        <w:rPr>
          <w:rFonts w:ascii="Arial" w:hAnsi="Arial" w:cs="Arial"/>
        </w:rPr>
        <w:t>ed</w:t>
      </w:r>
      <w:r w:rsidRPr="00732CE4">
        <w:rPr>
          <w:rFonts w:ascii="Arial" w:hAnsi="Arial" w:cs="Arial"/>
          <w:b/>
          <w:bCs/>
        </w:rPr>
        <w:t xml:space="preserve"> </w:t>
      </w:r>
      <w:r w:rsidRPr="00732CE4">
        <w:rPr>
          <w:rFonts w:ascii="Arial" w:hAnsi="Arial" w:cs="Arial"/>
        </w:rPr>
        <w:t xml:space="preserve">anche nel caso che dette varianti vengano presentate in numero superiore a 5 saranno considerate solo le prime 5 ai fini dell’attribuzione del punteggio. Relativamente alle varianti migliorative, il punteggio verrà attribuito in proporzione all’entità del miglioramento proposto fino ad un massimo di </w:t>
      </w:r>
      <w:r w:rsidRPr="00732CE4">
        <w:rPr>
          <w:rFonts w:ascii="Arial" w:hAnsi="Arial" w:cs="Arial"/>
          <w:b/>
          <w:bCs/>
        </w:rPr>
        <w:t>5 punti</w:t>
      </w:r>
      <w:r w:rsidRPr="00732CE4">
        <w:rPr>
          <w:rFonts w:ascii="Arial" w:hAnsi="Arial" w:cs="Arial"/>
        </w:rPr>
        <w:t>. La Commissione, a suo insindacabile giudizio, si riserva la facoltà di valutare nel suo complesso la portata delle migliorie apportate.</w:t>
      </w:r>
    </w:p>
    <w:p w:rsidR="00FB5315" w:rsidRPr="00732CE4" w:rsidRDefault="00FB5315" w:rsidP="00DA6D3C">
      <w:pPr>
        <w:numPr>
          <w:ilvl w:val="0"/>
          <w:numId w:val="1"/>
        </w:numPr>
        <w:spacing w:after="120"/>
        <w:jc w:val="both"/>
        <w:rPr>
          <w:rFonts w:ascii="Arial" w:hAnsi="Arial" w:cs="Arial"/>
        </w:rPr>
      </w:pPr>
      <w:r w:rsidRPr="00B02A9A">
        <w:rPr>
          <w:rFonts w:ascii="Arial" w:hAnsi="Arial" w:cs="Arial"/>
          <w:b/>
          <w:bCs/>
        </w:rPr>
        <w:t>Sono ammesse varianti peggiorative in numero massimo pari a 10.</w:t>
      </w:r>
      <w:r w:rsidRPr="00B02A9A">
        <w:rPr>
          <w:rFonts w:ascii="Arial" w:hAnsi="Arial" w:cs="Arial"/>
        </w:rPr>
        <w:t xml:space="preserve"> La presentazione di un numero maggiore di varianti peggiorative è ritenuta modifica sostanziale/sostituzione integrale del capitolato tecnico e quindi mancata accettazione delle condizioni tecniche di gara e comporta l’esclusione dell’offerta. I punti verranno ridotti in base alla natura delle condizioni peggiorative apportate al testo</w:t>
      </w:r>
      <w:r>
        <w:rPr>
          <w:rFonts w:ascii="Arial" w:hAnsi="Arial" w:cs="Arial"/>
        </w:rPr>
        <w:t>;</w:t>
      </w:r>
      <w:bookmarkStart w:id="0" w:name="_GoBack"/>
      <w:bookmarkEnd w:id="0"/>
    </w:p>
    <w:p w:rsidR="00FB5315" w:rsidRPr="00732CE4" w:rsidRDefault="00FB5315" w:rsidP="00DA6D3C">
      <w:pPr>
        <w:numPr>
          <w:ilvl w:val="0"/>
          <w:numId w:val="1"/>
        </w:numPr>
        <w:autoSpaceDE w:val="0"/>
        <w:autoSpaceDN w:val="0"/>
        <w:adjustRightInd w:val="0"/>
        <w:spacing w:after="120"/>
        <w:jc w:val="both"/>
        <w:rPr>
          <w:rFonts w:ascii="Arial" w:hAnsi="Arial" w:cs="Arial"/>
          <w:color w:val="000000"/>
        </w:rPr>
      </w:pPr>
      <w:r>
        <w:rPr>
          <w:rFonts w:ascii="Arial" w:hAnsi="Arial" w:cs="Arial"/>
          <w:color w:val="000000"/>
        </w:rPr>
        <w:t>t</w:t>
      </w:r>
      <w:r w:rsidRPr="00732CE4">
        <w:rPr>
          <w:rFonts w:ascii="Arial" w:hAnsi="Arial" w:cs="Arial"/>
          <w:color w:val="000000"/>
        </w:rPr>
        <w:t>ali varianti peggiorative, comunque, non potranno modificare in modo sostanziale il contenuto e la portata economica delle garanzie, pena l’esclusione della variante stessa.</w:t>
      </w:r>
    </w:p>
    <w:p w:rsidR="00FB5315" w:rsidRPr="00732CE4" w:rsidRDefault="00FB5315" w:rsidP="00DA6D3C">
      <w:pPr>
        <w:numPr>
          <w:ilvl w:val="0"/>
          <w:numId w:val="1"/>
        </w:numPr>
        <w:autoSpaceDE w:val="0"/>
        <w:autoSpaceDN w:val="0"/>
        <w:adjustRightInd w:val="0"/>
        <w:spacing w:after="120"/>
        <w:jc w:val="both"/>
        <w:rPr>
          <w:rFonts w:ascii="Arial" w:hAnsi="Arial" w:cs="Arial"/>
          <w:color w:val="000000"/>
        </w:rPr>
      </w:pPr>
      <w:r>
        <w:rPr>
          <w:rFonts w:ascii="Arial" w:hAnsi="Arial" w:cs="Arial"/>
          <w:color w:val="000000"/>
        </w:rPr>
        <w:t>n</w:t>
      </w:r>
      <w:r w:rsidRPr="00732CE4">
        <w:rPr>
          <w:rFonts w:ascii="Arial" w:hAnsi="Arial" w:cs="Arial"/>
          <w:color w:val="000000"/>
        </w:rPr>
        <w:t xml:space="preserve">on è ammessa la sostituzione integrale del capitolato tecnico, </w:t>
      </w:r>
      <w:r w:rsidRPr="00732CE4">
        <w:rPr>
          <w:rFonts w:ascii="Arial" w:hAnsi="Arial" w:cs="Arial"/>
          <w:color w:val="000000"/>
          <w:u w:val="single"/>
        </w:rPr>
        <w:t>pena l’esclusione dalla gara.</w:t>
      </w:r>
    </w:p>
    <w:p w:rsidR="00FB5315" w:rsidRPr="00732CE4" w:rsidRDefault="00FB5315" w:rsidP="00DA6D3C">
      <w:pPr>
        <w:numPr>
          <w:ilvl w:val="0"/>
          <w:numId w:val="1"/>
        </w:numPr>
        <w:autoSpaceDE w:val="0"/>
        <w:autoSpaceDN w:val="0"/>
        <w:adjustRightInd w:val="0"/>
        <w:spacing w:after="120"/>
        <w:jc w:val="both"/>
        <w:rPr>
          <w:rFonts w:ascii="Arial" w:hAnsi="Arial" w:cs="Arial"/>
          <w:color w:val="000000"/>
        </w:rPr>
      </w:pPr>
      <w:r>
        <w:rPr>
          <w:rFonts w:ascii="Arial" w:hAnsi="Arial" w:cs="Arial"/>
          <w:color w:val="000000"/>
        </w:rPr>
        <w:t>s</w:t>
      </w:r>
      <w:r w:rsidRPr="00732CE4">
        <w:rPr>
          <w:rFonts w:ascii="Arial" w:hAnsi="Arial" w:cs="Arial"/>
          <w:color w:val="000000"/>
        </w:rPr>
        <w:t xml:space="preserve">aranno ammesse alla successiva fase di gara - ovvero all’apertura e valutazione delle Offerte Economiche - le sole Offerte Tecniche che avranno raggiunto, per l’aspetto qualitativo, un punteggio pari o superiore a punti </w:t>
      </w:r>
      <w:r w:rsidRPr="00732CE4">
        <w:rPr>
          <w:rFonts w:ascii="Arial" w:hAnsi="Arial" w:cs="Arial"/>
          <w:b/>
          <w:bCs/>
          <w:color w:val="000000"/>
          <w:u w:val="single"/>
        </w:rPr>
        <w:t>30 (soglia minima di merito tecnico)</w:t>
      </w:r>
      <w:r>
        <w:rPr>
          <w:rFonts w:ascii="Arial" w:hAnsi="Arial" w:cs="Arial"/>
          <w:color w:val="000000"/>
        </w:rPr>
        <w:t>;</w:t>
      </w:r>
    </w:p>
    <w:p w:rsidR="00FB5315" w:rsidRPr="00732CE4" w:rsidRDefault="00FB5315" w:rsidP="00DA6D3C">
      <w:pPr>
        <w:numPr>
          <w:ilvl w:val="0"/>
          <w:numId w:val="1"/>
        </w:numPr>
        <w:autoSpaceDE w:val="0"/>
        <w:autoSpaceDN w:val="0"/>
        <w:adjustRightInd w:val="0"/>
        <w:spacing w:after="120"/>
        <w:jc w:val="both"/>
        <w:rPr>
          <w:rFonts w:ascii="Arial" w:hAnsi="Arial" w:cs="Arial"/>
          <w:color w:val="000000"/>
        </w:rPr>
      </w:pPr>
      <w:r>
        <w:rPr>
          <w:rFonts w:ascii="Arial" w:hAnsi="Arial" w:cs="Arial"/>
          <w:color w:val="000000"/>
        </w:rPr>
        <w:t>f</w:t>
      </w:r>
      <w:r w:rsidRPr="00732CE4">
        <w:rPr>
          <w:rFonts w:ascii="Arial" w:hAnsi="Arial" w:cs="Arial"/>
          <w:color w:val="000000"/>
        </w:rPr>
        <w:t>ermo quanto sopra esposto, la riduzione e/o l’incremento del punteggio verranno effettuati in relazione alla classificazione delle varianti proposte ed alla natura dell’elemento normativo sul quale incide la variante (intendendosi per tale qualsiasi modifica del testo del capitolato tecnico di polizza), come di seguito indicato:</w:t>
      </w:r>
    </w:p>
    <w:p w:rsidR="00FB5315" w:rsidRPr="00732CE4" w:rsidRDefault="00FB5315" w:rsidP="00DA6D3C">
      <w:pPr>
        <w:pStyle w:val="BodyTextIndent2"/>
        <w:spacing w:after="0" w:line="240" w:lineRule="auto"/>
        <w:ind w:left="0"/>
        <w:jc w:val="both"/>
        <w:rPr>
          <w:rFonts w:ascii="Arial" w:hAnsi="Arial" w:cs="Arial"/>
          <w:strike/>
          <w:sz w:val="20"/>
          <w:szCs w:val="20"/>
        </w:rPr>
      </w:pPr>
    </w:p>
    <w:p w:rsidR="00FB5315" w:rsidRPr="00732CE4" w:rsidRDefault="00FB5315" w:rsidP="00DA6D3C">
      <w:pPr>
        <w:autoSpaceDE w:val="0"/>
        <w:autoSpaceDN w:val="0"/>
        <w:adjustRightInd w:val="0"/>
        <w:jc w:val="both"/>
        <w:rPr>
          <w:rFonts w:ascii="Arial" w:hAnsi="Arial" w:cs="Arial"/>
          <w:b/>
          <w:bCs/>
        </w:rPr>
      </w:pPr>
      <w:r w:rsidRPr="00732CE4">
        <w:rPr>
          <w:rFonts w:ascii="Arial" w:hAnsi="Arial" w:cs="Arial"/>
          <w:b/>
          <w:bCs/>
        </w:rPr>
        <w:t>Criteri di valutazione delle varianti e applicazione del punteggio</w:t>
      </w:r>
    </w:p>
    <w:p w:rsidR="00FB5315" w:rsidRPr="00732CE4" w:rsidRDefault="00FB5315" w:rsidP="00DA6D3C">
      <w:pPr>
        <w:autoSpaceDE w:val="0"/>
        <w:autoSpaceDN w:val="0"/>
        <w:adjustRightInd w:val="0"/>
        <w:jc w:val="both"/>
        <w:rPr>
          <w:rFonts w:ascii="Arial" w:hAnsi="Arial" w:cs="Arial"/>
        </w:rPr>
      </w:pPr>
    </w:p>
    <w:p w:rsidR="00FB5315" w:rsidRPr="00732CE4" w:rsidRDefault="00FB5315" w:rsidP="00DA6D3C">
      <w:pPr>
        <w:autoSpaceDE w:val="0"/>
        <w:autoSpaceDN w:val="0"/>
        <w:adjustRightInd w:val="0"/>
        <w:jc w:val="both"/>
        <w:rPr>
          <w:rFonts w:ascii="Arial" w:hAnsi="Arial" w:cs="Arial"/>
        </w:rPr>
      </w:pPr>
      <w:r w:rsidRPr="00732CE4">
        <w:rPr>
          <w:rFonts w:ascii="Arial" w:hAnsi="Arial" w:cs="Arial"/>
        </w:rPr>
        <w:t>Con riferimento ai punteggi massimi attribuibili in assenza di varianti (65 punti) e in caso di proposta di varianti migliorative (+5 punti), la Commissione apporterà un punteggio in riduzione per ogni variante che modifichi in senso peggiorativo il capitolato proposto e nessuna riduzione per ogni variante ritenuta ininfluente, oppure in incremento per ogni variante migliorativa del capitolato proposto o nessun punteggio in incremento per ogni variante ritenuta ininfluente, fermo il richiamato limite massimo di varianti ammesse sia peggiorative che migliorative. Tali riduzioni e/o incrementi verranno applicati dalla Commissione in relazione agli aspetti del capitolato tecnico interessato dalla variante (intendendosi per tale qualsiasi modifica del testo del capitolato tecnico di polizza), in base alla valutazione della natura e rilevanza della variante medesima, secondo quanto di seguito indicato:</w:t>
      </w:r>
    </w:p>
    <w:p w:rsidR="00FB5315" w:rsidRPr="00732CE4" w:rsidRDefault="00FB5315" w:rsidP="00DA6D3C">
      <w:pPr>
        <w:jc w:val="both"/>
        <w:rPr>
          <w:rFonts w:ascii="Arial" w:hAnsi="Arial" w:cs="Arial"/>
          <w:color w:val="000000"/>
        </w:rPr>
      </w:pPr>
    </w:p>
    <w:tbl>
      <w:tblPr>
        <w:tblW w:w="98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96"/>
        <w:gridCol w:w="2658"/>
      </w:tblGrid>
      <w:tr w:rsidR="00FB5315" w:rsidRPr="00732CE4">
        <w:tc>
          <w:tcPr>
            <w:tcW w:w="7196" w:type="dxa"/>
          </w:tcPr>
          <w:p w:rsidR="00FB5315" w:rsidRPr="00732CE4" w:rsidRDefault="00FB5315" w:rsidP="00711CF2">
            <w:pPr>
              <w:ind w:right="-23"/>
              <w:jc w:val="both"/>
              <w:rPr>
                <w:rFonts w:ascii="Arial" w:hAnsi="Arial" w:cs="Arial"/>
                <w:b/>
                <w:bCs/>
                <w:color w:val="000000"/>
              </w:rPr>
            </w:pPr>
            <w:r w:rsidRPr="00732CE4">
              <w:rPr>
                <w:rFonts w:ascii="Arial" w:hAnsi="Arial" w:cs="Arial"/>
                <w:b/>
                <w:bCs/>
                <w:color w:val="000000"/>
              </w:rPr>
              <w:t>Classificazione delle varianti peggiorative</w:t>
            </w:r>
          </w:p>
        </w:tc>
        <w:tc>
          <w:tcPr>
            <w:tcW w:w="2658" w:type="dxa"/>
          </w:tcPr>
          <w:p w:rsidR="00FB5315" w:rsidRPr="00732CE4" w:rsidRDefault="00FB5315" w:rsidP="00711CF2">
            <w:pPr>
              <w:ind w:right="-23"/>
              <w:jc w:val="both"/>
              <w:rPr>
                <w:rFonts w:ascii="Arial" w:hAnsi="Arial" w:cs="Arial"/>
                <w:b/>
                <w:bCs/>
                <w:color w:val="000000"/>
              </w:rPr>
            </w:pPr>
            <w:r w:rsidRPr="00732CE4">
              <w:rPr>
                <w:rFonts w:ascii="Arial" w:hAnsi="Arial" w:cs="Arial"/>
                <w:b/>
                <w:bCs/>
                <w:color w:val="000000"/>
              </w:rPr>
              <w:t>Punteggio max attribuibile in riduzione</w:t>
            </w:r>
          </w:p>
        </w:tc>
      </w:tr>
      <w:tr w:rsidR="00FB5315" w:rsidRPr="00732CE4">
        <w:tc>
          <w:tcPr>
            <w:tcW w:w="7196" w:type="dxa"/>
          </w:tcPr>
          <w:p w:rsidR="00FB5315" w:rsidRPr="00732CE4" w:rsidRDefault="00FB5315" w:rsidP="00711CF2">
            <w:pPr>
              <w:ind w:right="-23"/>
              <w:jc w:val="both"/>
              <w:rPr>
                <w:rFonts w:ascii="Arial" w:hAnsi="Arial" w:cs="Arial"/>
                <w:color w:val="000000"/>
              </w:rPr>
            </w:pPr>
            <w:r w:rsidRPr="00732CE4">
              <w:rPr>
                <w:rFonts w:ascii="Arial" w:hAnsi="Arial" w:cs="Arial"/>
                <w:b/>
                <w:bCs/>
                <w:color w:val="000000"/>
              </w:rPr>
              <w:t>Variante gravissima</w:t>
            </w:r>
            <w:r w:rsidRPr="00732CE4">
              <w:rPr>
                <w:rFonts w:ascii="Arial" w:hAnsi="Arial" w:cs="Arial"/>
                <w:color w:val="000000"/>
              </w:rPr>
              <w:t>, e cioè la variante che apporta:</w:t>
            </w:r>
          </w:p>
          <w:p w:rsidR="00FB5315" w:rsidRPr="00732CE4" w:rsidRDefault="00FB5315" w:rsidP="00DA6D3C">
            <w:pPr>
              <w:numPr>
                <w:ilvl w:val="0"/>
                <w:numId w:val="8"/>
              </w:numPr>
              <w:autoSpaceDE w:val="0"/>
              <w:autoSpaceDN w:val="0"/>
              <w:adjustRightInd w:val="0"/>
              <w:ind w:left="426" w:hanging="426"/>
              <w:jc w:val="both"/>
              <w:rPr>
                <w:rFonts w:ascii="Arial" w:hAnsi="Arial" w:cs="Arial"/>
                <w:color w:val="000000"/>
              </w:rPr>
            </w:pPr>
            <w:r w:rsidRPr="00732CE4">
              <w:rPr>
                <w:rFonts w:ascii="Arial" w:hAnsi="Arial" w:cs="Arial"/>
                <w:color w:val="000000"/>
              </w:rPr>
              <w:t>limitazione o modifica sostanziale alla copertura prevista dalla clausola oggetto di variante, annullandone completamente gli effetti e/o riducendone l'efficacia drasticamente, con particolare riferimento a garanzie con elevata potenzialità di danno - anche di un solo sinistro - in termini di punta od entità e/o di frequenza;</w:t>
            </w:r>
          </w:p>
          <w:p w:rsidR="00FB5315" w:rsidRPr="00732CE4" w:rsidRDefault="00FB5315" w:rsidP="00DA6D3C">
            <w:pPr>
              <w:numPr>
                <w:ilvl w:val="0"/>
                <w:numId w:val="8"/>
              </w:numPr>
              <w:autoSpaceDE w:val="0"/>
              <w:autoSpaceDN w:val="0"/>
              <w:adjustRightInd w:val="0"/>
              <w:ind w:left="426" w:hanging="426"/>
              <w:jc w:val="both"/>
              <w:rPr>
                <w:rFonts w:ascii="Arial" w:hAnsi="Arial" w:cs="Arial"/>
                <w:color w:val="000000"/>
              </w:rPr>
            </w:pPr>
            <w:r w:rsidRPr="00732CE4">
              <w:rPr>
                <w:rFonts w:ascii="Arial" w:hAnsi="Arial" w:cs="Arial"/>
                <w:color w:val="000000"/>
              </w:rPr>
              <w:t>l’abrogazione di una garanzia, che incide sulla copertura assicurativa prevista dal capitolato tecnico, con particolare riferimento a eventi dannosi con elevata potenzialità di danno, in termini di entità o frequenza, riducendo drasticamente l'efficacia dell’assicurazione;</w:t>
            </w:r>
          </w:p>
          <w:p w:rsidR="00FB5315" w:rsidRPr="00732CE4" w:rsidRDefault="00FB5315" w:rsidP="00DA6D3C">
            <w:pPr>
              <w:numPr>
                <w:ilvl w:val="0"/>
                <w:numId w:val="8"/>
              </w:numPr>
              <w:autoSpaceDE w:val="0"/>
              <w:autoSpaceDN w:val="0"/>
              <w:adjustRightInd w:val="0"/>
              <w:ind w:left="426" w:hanging="426"/>
              <w:jc w:val="both"/>
              <w:rPr>
                <w:rFonts w:ascii="Arial" w:hAnsi="Arial" w:cs="Arial"/>
                <w:color w:val="000000"/>
              </w:rPr>
            </w:pPr>
            <w:r w:rsidRPr="00732CE4">
              <w:rPr>
                <w:rFonts w:ascii="Arial" w:hAnsi="Arial" w:cs="Arial"/>
                <w:color w:val="000000"/>
              </w:rPr>
              <w:t>una limitazione o modifica che incide su modalità e/o facilitazioni gestionali od operative, funzionali alla buona esecuzione del contratto, con pesanti oneri e/o minima o molto diversa efficacia per il Contraente rispetto al capitolato tecnico proposto.</w:t>
            </w:r>
          </w:p>
        </w:tc>
        <w:tc>
          <w:tcPr>
            <w:tcW w:w="2658" w:type="dxa"/>
          </w:tcPr>
          <w:p w:rsidR="00FB5315" w:rsidRPr="00732CE4" w:rsidRDefault="00FB5315" w:rsidP="00711CF2">
            <w:pPr>
              <w:ind w:right="-23"/>
              <w:jc w:val="both"/>
              <w:rPr>
                <w:rFonts w:ascii="Arial" w:hAnsi="Arial" w:cs="Arial"/>
                <w:b/>
                <w:bCs/>
                <w:color w:val="000000"/>
              </w:rPr>
            </w:pPr>
          </w:p>
          <w:p w:rsidR="00FB5315" w:rsidRPr="00732CE4" w:rsidRDefault="00FB5315" w:rsidP="00711CF2">
            <w:pPr>
              <w:ind w:right="-23"/>
              <w:jc w:val="both"/>
              <w:rPr>
                <w:rFonts w:ascii="Arial" w:hAnsi="Arial" w:cs="Arial"/>
                <w:b/>
                <w:bCs/>
                <w:color w:val="000000"/>
              </w:rPr>
            </w:pPr>
          </w:p>
          <w:p w:rsidR="00FB5315" w:rsidRPr="00732CE4" w:rsidRDefault="00FB5315" w:rsidP="00711CF2">
            <w:pPr>
              <w:ind w:right="-23"/>
              <w:jc w:val="both"/>
              <w:rPr>
                <w:rFonts w:ascii="Arial" w:hAnsi="Arial" w:cs="Arial"/>
                <w:b/>
                <w:bCs/>
                <w:color w:val="000000"/>
              </w:rPr>
            </w:pPr>
          </w:p>
          <w:p w:rsidR="00FB5315" w:rsidRPr="00732CE4" w:rsidRDefault="00FB5315" w:rsidP="00711CF2">
            <w:pPr>
              <w:ind w:right="-23"/>
              <w:jc w:val="both"/>
              <w:rPr>
                <w:rFonts w:ascii="Arial" w:hAnsi="Arial" w:cs="Arial"/>
                <w:b/>
                <w:bCs/>
                <w:color w:val="000000"/>
              </w:rPr>
            </w:pPr>
          </w:p>
          <w:p w:rsidR="00FB5315" w:rsidRPr="00732CE4" w:rsidRDefault="00FB5315" w:rsidP="00711CF2">
            <w:pPr>
              <w:ind w:right="-23"/>
              <w:jc w:val="both"/>
              <w:rPr>
                <w:rFonts w:ascii="Arial" w:hAnsi="Arial" w:cs="Arial"/>
                <w:b/>
                <w:bCs/>
                <w:color w:val="000000"/>
              </w:rPr>
            </w:pPr>
          </w:p>
          <w:p w:rsidR="00FB5315" w:rsidRPr="00732CE4" w:rsidRDefault="00FB5315" w:rsidP="00711CF2">
            <w:pPr>
              <w:ind w:right="-23"/>
              <w:jc w:val="both"/>
              <w:rPr>
                <w:rFonts w:ascii="Arial" w:hAnsi="Arial" w:cs="Arial"/>
                <w:b/>
                <w:bCs/>
                <w:color w:val="000000"/>
              </w:rPr>
            </w:pPr>
            <w:r w:rsidRPr="00732CE4">
              <w:rPr>
                <w:rFonts w:ascii="Arial" w:hAnsi="Arial" w:cs="Arial"/>
                <w:b/>
                <w:bCs/>
                <w:color w:val="000000"/>
              </w:rPr>
              <w:t>-6</w:t>
            </w:r>
          </w:p>
        </w:tc>
      </w:tr>
      <w:tr w:rsidR="00FB5315" w:rsidRPr="00732CE4">
        <w:tc>
          <w:tcPr>
            <w:tcW w:w="7196" w:type="dxa"/>
          </w:tcPr>
          <w:p w:rsidR="00FB5315" w:rsidRPr="00732CE4" w:rsidRDefault="00FB5315" w:rsidP="00711CF2">
            <w:pPr>
              <w:autoSpaceDE w:val="0"/>
              <w:autoSpaceDN w:val="0"/>
              <w:adjustRightInd w:val="0"/>
              <w:jc w:val="both"/>
              <w:rPr>
                <w:rFonts w:ascii="Arial" w:hAnsi="Arial" w:cs="Arial"/>
                <w:color w:val="000000"/>
              </w:rPr>
            </w:pPr>
            <w:r w:rsidRPr="00732CE4">
              <w:rPr>
                <w:rFonts w:ascii="Arial" w:hAnsi="Arial" w:cs="Arial"/>
                <w:b/>
                <w:bCs/>
                <w:color w:val="000000"/>
              </w:rPr>
              <w:t>Variante significativa,</w:t>
            </w:r>
            <w:r w:rsidRPr="00732CE4">
              <w:rPr>
                <w:rFonts w:ascii="Arial" w:hAnsi="Arial" w:cs="Arial"/>
                <w:color w:val="000000"/>
              </w:rPr>
              <w:t xml:space="preserve"> e cioè la variante che apporta:</w:t>
            </w:r>
          </w:p>
          <w:p w:rsidR="00FB5315" w:rsidRPr="00732CE4" w:rsidRDefault="00FB5315" w:rsidP="00DA6D3C">
            <w:pPr>
              <w:numPr>
                <w:ilvl w:val="0"/>
                <w:numId w:val="7"/>
              </w:numPr>
              <w:autoSpaceDE w:val="0"/>
              <w:autoSpaceDN w:val="0"/>
              <w:adjustRightInd w:val="0"/>
              <w:ind w:left="426" w:hanging="426"/>
              <w:jc w:val="both"/>
              <w:rPr>
                <w:rFonts w:ascii="Arial" w:hAnsi="Arial" w:cs="Arial"/>
                <w:color w:val="000000"/>
              </w:rPr>
            </w:pPr>
            <w:r w:rsidRPr="00732CE4">
              <w:rPr>
                <w:rFonts w:ascii="Arial" w:hAnsi="Arial" w:cs="Arial"/>
                <w:color w:val="000000"/>
              </w:rPr>
              <w:t>limitazione o modifica che incide significativamente sulla copertura prevista dalla clausola oggetto di variante, annullandone totalmente o parzialmente gli effetti e riducendo l'efficacia della copertura in misura significativa;</w:t>
            </w:r>
          </w:p>
          <w:p w:rsidR="00FB5315" w:rsidRPr="00732CE4" w:rsidRDefault="00FB5315" w:rsidP="00DA6D3C">
            <w:pPr>
              <w:numPr>
                <w:ilvl w:val="0"/>
                <w:numId w:val="7"/>
              </w:numPr>
              <w:autoSpaceDE w:val="0"/>
              <w:autoSpaceDN w:val="0"/>
              <w:adjustRightInd w:val="0"/>
              <w:ind w:left="426" w:hanging="426"/>
              <w:jc w:val="both"/>
              <w:rPr>
                <w:rFonts w:ascii="Arial" w:hAnsi="Arial" w:cs="Arial"/>
                <w:color w:val="000000"/>
              </w:rPr>
            </w:pPr>
            <w:r w:rsidRPr="00732CE4">
              <w:rPr>
                <w:rFonts w:ascii="Arial" w:hAnsi="Arial" w:cs="Arial"/>
                <w:color w:val="000000"/>
              </w:rPr>
              <w:t>l’abrogazione di una garanzia che incide sulla copertura assicurativa prevista dal capitolato tecnico e ne riduce l'efficacia in misura significativa;</w:t>
            </w:r>
          </w:p>
          <w:p w:rsidR="00FB5315" w:rsidRPr="00732CE4" w:rsidRDefault="00FB5315" w:rsidP="00DA6D3C">
            <w:pPr>
              <w:numPr>
                <w:ilvl w:val="0"/>
                <w:numId w:val="7"/>
              </w:numPr>
              <w:autoSpaceDE w:val="0"/>
              <w:autoSpaceDN w:val="0"/>
              <w:adjustRightInd w:val="0"/>
              <w:ind w:left="426" w:hanging="426"/>
              <w:jc w:val="both"/>
              <w:rPr>
                <w:rFonts w:ascii="Arial" w:hAnsi="Arial" w:cs="Arial"/>
                <w:color w:val="000000"/>
              </w:rPr>
            </w:pPr>
            <w:r w:rsidRPr="00732CE4">
              <w:rPr>
                <w:rFonts w:ascii="Arial" w:hAnsi="Arial" w:cs="Arial"/>
                <w:color w:val="000000"/>
              </w:rPr>
              <w:t>una limitazione o modifica che incide su modalità e/o facilitazioni gestionali od operative, funzionali alla buona esecuzione del contratto, con incremento degli oneri a carico del Contraente in misura significativa.</w:t>
            </w:r>
          </w:p>
        </w:tc>
        <w:tc>
          <w:tcPr>
            <w:tcW w:w="2658" w:type="dxa"/>
          </w:tcPr>
          <w:p w:rsidR="00FB5315" w:rsidRPr="00732CE4" w:rsidRDefault="00FB5315" w:rsidP="00711CF2">
            <w:pPr>
              <w:autoSpaceDE w:val="0"/>
              <w:autoSpaceDN w:val="0"/>
              <w:adjustRightInd w:val="0"/>
              <w:jc w:val="both"/>
              <w:rPr>
                <w:rFonts w:ascii="Arial" w:hAnsi="Arial" w:cs="Arial"/>
                <w:b/>
                <w:bCs/>
                <w:color w:val="000000"/>
              </w:rPr>
            </w:pPr>
          </w:p>
          <w:p w:rsidR="00FB5315" w:rsidRPr="00732CE4" w:rsidRDefault="00FB5315" w:rsidP="00711CF2">
            <w:pPr>
              <w:autoSpaceDE w:val="0"/>
              <w:autoSpaceDN w:val="0"/>
              <w:adjustRightInd w:val="0"/>
              <w:jc w:val="both"/>
              <w:rPr>
                <w:rFonts w:ascii="Arial" w:hAnsi="Arial" w:cs="Arial"/>
                <w:b/>
                <w:bCs/>
                <w:color w:val="000000"/>
              </w:rPr>
            </w:pPr>
          </w:p>
          <w:p w:rsidR="00FB5315" w:rsidRPr="00732CE4" w:rsidRDefault="00FB5315" w:rsidP="00711CF2">
            <w:pPr>
              <w:autoSpaceDE w:val="0"/>
              <w:autoSpaceDN w:val="0"/>
              <w:adjustRightInd w:val="0"/>
              <w:jc w:val="both"/>
              <w:rPr>
                <w:rFonts w:ascii="Arial" w:hAnsi="Arial" w:cs="Arial"/>
                <w:b/>
                <w:bCs/>
                <w:color w:val="000000"/>
              </w:rPr>
            </w:pPr>
          </w:p>
          <w:p w:rsidR="00FB5315" w:rsidRPr="00732CE4" w:rsidRDefault="00FB5315" w:rsidP="00711CF2">
            <w:pPr>
              <w:autoSpaceDE w:val="0"/>
              <w:autoSpaceDN w:val="0"/>
              <w:adjustRightInd w:val="0"/>
              <w:jc w:val="both"/>
              <w:rPr>
                <w:rFonts w:ascii="Arial" w:hAnsi="Arial" w:cs="Arial"/>
                <w:b/>
                <w:bCs/>
                <w:color w:val="000000"/>
              </w:rPr>
            </w:pPr>
          </w:p>
          <w:p w:rsidR="00FB5315" w:rsidRPr="00732CE4" w:rsidRDefault="00FB5315" w:rsidP="00711CF2">
            <w:pPr>
              <w:autoSpaceDE w:val="0"/>
              <w:autoSpaceDN w:val="0"/>
              <w:adjustRightInd w:val="0"/>
              <w:jc w:val="both"/>
              <w:rPr>
                <w:rFonts w:ascii="Arial" w:hAnsi="Arial" w:cs="Arial"/>
                <w:b/>
                <w:bCs/>
                <w:color w:val="000000"/>
              </w:rPr>
            </w:pPr>
            <w:r w:rsidRPr="00732CE4">
              <w:rPr>
                <w:rFonts w:ascii="Arial" w:hAnsi="Arial" w:cs="Arial"/>
                <w:b/>
                <w:bCs/>
                <w:color w:val="000000"/>
              </w:rPr>
              <w:t>-3</w:t>
            </w:r>
          </w:p>
        </w:tc>
      </w:tr>
      <w:tr w:rsidR="00FB5315" w:rsidRPr="00732CE4">
        <w:tc>
          <w:tcPr>
            <w:tcW w:w="7196" w:type="dxa"/>
          </w:tcPr>
          <w:p w:rsidR="00FB5315" w:rsidRPr="00732CE4" w:rsidRDefault="00FB5315" w:rsidP="00711CF2">
            <w:pPr>
              <w:autoSpaceDE w:val="0"/>
              <w:autoSpaceDN w:val="0"/>
              <w:adjustRightInd w:val="0"/>
              <w:jc w:val="both"/>
              <w:rPr>
                <w:rFonts w:ascii="Arial" w:hAnsi="Arial" w:cs="Arial"/>
                <w:color w:val="000000"/>
              </w:rPr>
            </w:pPr>
            <w:r w:rsidRPr="00732CE4">
              <w:rPr>
                <w:rFonts w:ascii="Arial" w:hAnsi="Arial" w:cs="Arial"/>
                <w:b/>
                <w:bCs/>
                <w:color w:val="000000"/>
              </w:rPr>
              <w:t>Variante lieve,</w:t>
            </w:r>
            <w:r w:rsidRPr="00732CE4">
              <w:rPr>
                <w:rFonts w:ascii="Arial" w:hAnsi="Arial" w:cs="Arial"/>
                <w:color w:val="000000"/>
              </w:rPr>
              <w:t xml:space="preserve"> e cioè la variante che apporta:</w:t>
            </w:r>
          </w:p>
          <w:p w:rsidR="00FB5315" w:rsidRPr="00732CE4" w:rsidRDefault="00FB5315" w:rsidP="00DA6D3C">
            <w:pPr>
              <w:numPr>
                <w:ilvl w:val="0"/>
                <w:numId w:val="6"/>
              </w:numPr>
              <w:autoSpaceDE w:val="0"/>
              <w:autoSpaceDN w:val="0"/>
              <w:adjustRightInd w:val="0"/>
              <w:ind w:left="426" w:hanging="426"/>
              <w:jc w:val="both"/>
              <w:rPr>
                <w:rFonts w:ascii="Arial" w:hAnsi="Arial" w:cs="Arial"/>
                <w:color w:val="000000"/>
              </w:rPr>
            </w:pPr>
            <w:r w:rsidRPr="00732CE4">
              <w:rPr>
                <w:rFonts w:ascii="Arial" w:hAnsi="Arial" w:cs="Arial"/>
                <w:color w:val="000000"/>
              </w:rPr>
              <w:t>limitazione o modifica che incide con effetti apprezzabili sulla copertura prevista dalla clausola oggetto di variante, non annullandone alcuna parte ma riducendone l'efficacia in misura lieve;</w:t>
            </w:r>
          </w:p>
          <w:p w:rsidR="00FB5315" w:rsidRPr="00732CE4" w:rsidRDefault="00FB5315" w:rsidP="00DA6D3C">
            <w:pPr>
              <w:numPr>
                <w:ilvl w:val="0"/>
                <w:numId w:val="6"/>
              </w:numPr>
              <w:autoSpaceDE w:val="0"/>
              <w:autoSpaceDN w:val="0"/>
              <w:adjustRightInd w:val="0"/>
              <w:ind w:left="426" w:hanging="426"/>
              <w:jc w:val="both"/>
              <w:rPr>
                <w:rFonts w:ascii="Arial" w:hAnsi="Arial" w:cs="Arial"/>
                <w:color w:val="000000"/>
              </w:rPr>
            </w:pPr>
            <w:r w:rsidRPr="00732CE4">
              <w:rPr>
                <w:rFonts w:ascii="Arial" w:hAnsi="Arial" w:cs="Arial"/>
                <w:color w:val="000000"/>
              </w:rPr>
              <w:t>l’abrogazione di una garanzia - o di parte di parte della stessa - che incide con effetti apprezzabili sulla copertura assicurativa prevista dal capitolato speciale e ne riduce l'efficacia in misura lieve;</w:t>
            </w:r>
          </w:p>
          <w:p w:rsidR="00FB5315" w:rsidRPr="00732CE4" w:rsidRDefault="00FB5315" w:rsidP="00DA6D3C">
            <w:pPr>
              <w:numPr>
                <w:ilvl w:val="0"/>
                <w:numId w:val="6"/>
              </w:numPr>
              <w:autoSpaceDE w:val="0"/>
              <w:autoSpaceDN w:val="0"/>
              <w:adjustRightInd w:val="0"/>
              <w:ind w:left="426" w:hanging="426"/>
              <w:jc w:val="both"/>
              <w:rPr>
                <w:rFonts w:ascii="Arial" w:hAnsi="Arial" w:cs="Arial"/>
                <w:color w:val="000000"/>
              </w:rPr>
            </w:pPr>
            <w:r w:rsidRPr="00732CE4">
              <w:rPr>
                <w:rFonts w:ascii="Arial" w:hAnsi="Arial" w:cs="Arial"/>
                <w:color w:val="000000"/>
              </w:rPr>
              <w:t>una limitazione o modifica che incide su modalità e/o facilitazioni gestionali od operative, funzionali alla buona esecuzione del contratto, con incremento degli oneri a carico del Contraente in misura lieve.</w:t>
            </w:r>
          </w:p>
        </w:tc>
        <w:tc>
          <w:tcPr>
            <w:tcW w:w="2658" w:type="dxa"/>
          </w:tcPr>
          <w:p w:rsidR="00FB5315" w:rsidRPr="00732CE4" w:rsidRDefault="00FB5315" w:rsidP="00711CF2">
            <w:pPr>
              <w:autoSpaceDE w:val="0"/>
              <w:autoSpaceDN w:val="0"/>
              <w:adjustRightInd w:val="0"/>
              <w:jc w:val="both"/>
              <w:rPr>
                <w:rFonts w:ascii="Arial" w:hAnsi="Arial" w:cs="Arial"/>
                <w:b/>
                <w:bCs/>
                <w:color w:val="000000"/>
              </w:rPr>
            </w:pPr>
          </w:p>
          <w:p w:rsidR="00FB5315" w:rsidRPr="00732CE4" w:rsidRDefault="00FB5315" w:rsidP="00711CF2">
            <w:pPr>
              <w:autoSpaceDE w:val="0"/>
              <w:autoSpaceDN w:val="0"/>
              <w:adjustRightInd w:val="0"/>
              <w:jc w:val="both"/>
              <w:rPr>
                <w:rFonts w:ascii="Arial" w:hAnsi="Arial" w:cs="Arial"/>
                <w:b/>
                <w:bCs/>
                <w:color w:val="000000"/>
              </w:rPr>
            </w:pPr>
          </w:p>
          <w:p w:rsidR="00FB5315" w:rsidRPr="00732CE4" w:rsidRDefault="00FB5315" w:rsidP="00711CF2">
            <w:pPr>
              <w:autoSpaceDE w:val="0"/>
              <w:autoSpaceDN w:val="0"/>
              <w:adjustRightInd w:val="0"/>
              <w:jc w:val="both"/>
              <w:rPr>
                <w:rFonts w:ascii="Arial" w:hAnsi="Arial" w:cs="Arial"/>
                <w:b/>
                <w:bCs/>
                <w:color w:val="000000"/>
              </w:rPr>
            </w:pPr>
          </w:p>
          <w:p w:rsidR="00FB5315" w:rsidRPr="00732CE4" w:rsidRDefault="00FB5315" w:rsidP="00711CF2">
            <w:pPr>
              <w:autoSpaceDE w:val="0"/>
              <w:autoSpaceDN w:val="0"/>
              <w:adjustRightInd w:val="0"/>
              <w:jc w:val="both"/>
              <w:rPr>
                <w:rFonts w:ascii="Arial" w:hAnsi="Arial" w:cs="Arial"/>
                <w:b/>
                <w:bCs/>
                <w:color w:val="000000"/>
              </w:rPr>
            </w:pPr>
          </w:p>
          <w:p w:rsidR="00FB5315" w:rsidRPr="00732CE4" w:rsidRDefault="00FB5315" w:rsidP="00711CF2">
            <w:pPr>
              <w:autoSpaceDE w:val="0"/>
              <w:autoSpaceDN w:val="0"/>
              <w:adjustRightInd w:val="0"/>
              <w:jc w:val="both"/>
              <w:rPr>
                <w:rFonts w:ascii="Arial" w:hAnsi="Arial" w:cs="Arial"/>
                <w:b/>
                <w:bCs/>
                <w:color w:val="000000"/>
              </w:rPr>
            </w:pPr>
            <w:r w:rsidRPr="00732CE4">
              <w:rPr>
                <w:rFonts w:ascii="Arial" w:hAnsi="Arial" w:cs="Arial"/>
                <w:b/>
                <w:bCs/>
                <w:color w:val="000000"/>
              </w:rPr>
              <w:t>-1,5</w:t>
            </w:r>
          </w:p>
        </w:tc>
      </w:tr>
      <w:tr w:rsidR="00FB5315" w:rsidRPr="00732CE4">
        <w:tc>
          <w:tcPr>
            <w:tcW w:w="7196" w:type="dxa"/>
          </w:tcPr>
          <w:p w:rsidR="00FB5315" w:rsidRPr="00732CE4" w:rsidRDefault="00FB5315" w:rsidP="00711CF2">
            <w:pPr>
              <w:ind w:right="-23"/>
              <w:jc w:val="both"/>
              <w:rPr>
                <w:rFonts w:ascii="Arial" w:hAnsi="Arial" w:cs="Arial"/>
                <w:color w:val="000000"/>
              </w:rPr>
            </w:pPr>
            <w:r w:rsidRPr="00732CE4">
              <w:rPr>
                <w:rFonts w:ascii="Arial" w:hAnsi="Arial" w:cs="Arial"/>
                <w:b/>
                <w:bCs/>
                <w:color w:val="000000"/>
              </w:rPr>
              <w:t>Variante Ininfluente</w:t>
            </w:r>
            <w:r w:rsidRPr="00732CE4">
              <w:rPr>
                <w:rFonts w:ascii="Arial" w:hAnsi="Arial" w:cs="Arial"/>
                <w:color w:val="000000"/>
              </w:rPr>
              <w:t>, e cioè la variante recante:</w:t>
            </w:r>
          </w:p>
          <w:p w:rsidR="00FB5315" w:rsidRPr="00732CE4" w:rsidRDefault="00FB5315" w:rsidP="00DA6D3C">
            <w:pPr>
              <w:numPr>
                <w:ilvl w:val="0"/>
                <w:numId w:val="5"/>
              </w:numPr>
              <w:autoSpaceDE w:val="0"/>
              <w:autoSpaceDN w:val="0"/>
              <w:adjustRightInd w:val="0"/>
              <w:ind w:left="426" w:hanging="426"/>
              <w:jc w:val="both"/>
              <w:rPr>
                <w:rFonts w:ascii="Arial" w:hAnsi="Arial" w:cs="Arial"/>
                <w:color w:val="000000"/>
              </w:rPr>
            </w:pPr>
            <w:r w:rsidRPr="00732CE4">
              <w:rPr>
                <w:rFonts w:ascii="Arial" w:hAnsi="Arial" w:cs="Arial"/>
                <w:color w:val="000000"/>
              </w:rPr>
              <w:t>precisazione che non incide sulla copertura prevista dalla clausola oggetto di modifica, non riducendone l’efficacia, e si può ritenere equivalente ad accettazione del capitolato proposto.</w:t>
            </w:r>
          </w:p>
          <w:p w:rsidR="00FB5315" w:rsidRPr="00732CE4" w:rsidRDefault="00FB5315" w:rsidP="00DA6D3C">
            <w:pPr>
              <w:numPr>
                <w:ilvl w:val="0"/>
                <w:numId w:val="5"/>
              </w:numPr>
              <w:autoSpaceDE w:val="0"/>
              <w:autoSpaceDN w:val="0"/>
              <w:adjustRightInd w:val="0"/>
              <w:ind w:left="426" w:hanging="426"/>
              <w:jc w:val="both"/>
              <w:rPr>
                <w:rFonts w:ascii="Arial" w:hAnsi="Arial" w:cs="Arial"/>
                <w:color w:val="000000"/>
              </w:rPr>
            </w:pPr>
            <w:r w:rsidRPr="00732CE4">
              <w:rPr>
                <w:rFonts w:ascii="Arial" w:hAnsi="Arial" w:cs="Arial"/>
                <w:color w:val="000000"/>
              </w:rPr>
              <w:t>precisazione che non incide sulle modalità di gestione del contratto e che può ritenersi equivalente ad accettazione del capitolato tecnico proposto.</w:t>
            </w:r>
          </w:p>
        </w:tc>
        <w:tc>
          <w:tcPr>
            <w:tcW w:w="2658" w:type="dxa"/>
          </w:tcPr>
          <w:p w:rsidR="00FB5315" w:rsidRPr="00732CE4" w:rsidRDefault="00FB5315" w:rsidP="00711CF2">
            <w:pPr>
              <w:ind w:right="-23"/>
              <w:jc w:val="both"/>
              <w:rPr>
                <w:rFonts w:ascii="Arial" w:hAnsi="Arial" w:cs="Arial"/>
                <w:b/>
                <w:bCs/>
                <w:color w:val="000000"/>
              </w:rPr>
            </w:pPr>
          </w:p>
          <w:p w:rsidR="00FB5315" w:rsidRPr="00732CE4" w:rsidRDefault="00FB5315" w:rsidP="00711CF2">
            <w:pPr>
              <w:ind w:right="-23"/>
              <w:jc w:val="both"/>
              <w:rPr>
                <w:rFonts w:ascii="Arial" w:hAnsi="Arial" w:cs="Arial"/>
                <w:b/>
                <w:bCs/>
                <w:color w:val="000000"/>
              </w:rPr>
            </w:pPr>
          </w:p>
          <w:p w:rsidR="00FB5315" w:rsidRPr="00732CE4" w:rsidRDefault="00FB5315" w:rsidP="00711CF2">
            <w:pPr>
              <w:ind w:right="-23"/>
              <w:jc w:val="both"/>
              <w:rPr>
                <w:rFonts w:ascii="Arial" w:hAnsi="Arial" w:cs="Arial"/>
                <w:b/>
                <w:bCs/>
                <w:color w:val="000000"/>
              </w:rPr>
            </w:pPr>
          </w:p>
          <w:p w:rsidR="00FB5315" w:rsidRPr="00732CE4" w:rsidRDefault="00FB5315" w:rsidP="00711CF2">
            <w:pPr>
              <w:ind w:right="-23"/>
              <w:jc w:val="both"/>
              <w:rPr>
                <w:rFonts w:ascii="Arial" w:hAnsi="Arial" w:cs="Arial"/>
                <w:b/>
                <w:bCs/>
                <w:color w:val="000000"/>
              </w:rPr>
            </w:pPr>
            <w:r w:rsidRPr="00732CE4">
              <w:rPr>
                <w:rFonts w:ascii="Arial" w:hAnsi="Arial" w:cs="Arial"/>
                <w:b/>
                <w:bCs/>
                <w:color w:val="000000"/>
              </w:rPr>
              <w:t>0</w:t>
            </w:r>
          </w:p>
        </w:tc>
      </w:tr>
      <w:tr w:rsidR="00FB5315" w:rsidRPr="00732CE4">
        <w:tc>
          <w:tcPr>
            <w:tcW w:w="7196" w:type="dxa"/>
          </w:tcPr>
          <w:p w:rsidR="00FB5315" w:rsidRPr="00732CE4" w:rsidRDefault="00FB5315" w:rsidP="00711CF2">
            <w:pPr>
              <w:ind w:right="-23"/>
              <w:jc w:val="both"/>
              <w:rPr>
                <w:rFonts w:ascii="Arial" w:hAnsi="Arial" w:cs="Arial"/>
                <w:b/>
                <w:bCs/>
                <w:color w:val="000000"/>
              </w:rPr>
            </w:pPr>
            <w:r w:rsidRPr="00732CE4">
              <w:rPr>
                <w:rFonts w:ascii="Arial" w:hAnsi="Arial" w:cs="Arial"/>
                <w:b/>
                <w:bCs/>
                <w:color w:val="000000"/>
              </w:rPr>
              <w:t>Classificazione delle varianti migliorative</w:t>
            </w:r>
          </w:p>
        </w:tc>
        <w:tc>
          <w:tcPr>
            <w:tcW w:w="2658" w:type="dxa"/>
          </w:tcPr>
          <w:p w:rsidR="00FB5315" w:rsidRPr="00732CE4" w:rsidRDefault="00FB5315" w:rsidP="00711CF2">
            <w:pPr>
              <w:ind w:right="-23"/>
              <w:jc w:val="both"/>
              <w:rPr>
                <w:rFonts w:ascii="Arial" w:hAnsi="Arial" w:cs="Arial"/>
                <w:b/>
                <w:bCs/>
                <w:color w:val="000000"/>
              </w:rPr>
            </w:pPr>
            <w:r w:rsidRPr="00732CE4">
              <w:rPr>
                <w:rFonts w:ascii="Arial" w:hAnsi="Arial" w:cs="Arial"/>
                <w:b/>
                <w:bCs/>
                <w:color w:val="000000"/>
              </w:rPr>
              <w:t>Punteggio max attribuibile in aumento</w:t>
            </w:r>
          </w:p>
        </w:tc>
      </w:tr>
      <w:tr w:rsidR="00FB5315" w:rsidRPr="00732CE4">
        <w:tc>
          <w:tcPr>
            <w:tcW w:w="7196" w:type="dxa"/>
          </w:tcPr>
          <w:p w:rsidR="00FB5315" w:rsidRPr="00732CE4" w:rsidRDefault="00FB5315" w:rsidP="00711CF2">
            <w:pPr>
              <w:ind w:right="-23"/>
              <w:jc w:val="both"/>
              <w:rPr>
                <w:rFonts w:ascii="Arial" w:hAnsi="Arial" w:cs="Arial"/>
                <w:color w:val="000000"/>
              </w:rPr>
            </w:pPr>
            <w:r w:rsidRPr="00732CE4">
              <w:rPr>
                <w:rFonts w:ascii="Arial" w:hAnsi="Arial" w:cs="Arial"/>
                <w:b/>
                <w:bCs/>
                <w:color w:val="000000"/>
                <w:u w:val="single"/>
              </w:rPr>
              <w:t>Variante Ottima</w:t>
            </w:r>
            <w:r w:rsidRPr="00732CE4">
              <w:rPr>
                <w:rFonts w:ascii="Arial" w:hAnsi="Arial" w:cs="Arial"/>
                <w:color w:val="000000"/>
              </w:rPr>
              <w:t>, e cioè la variante che apporta:</w:t>
            </w:r>
          </w:p>
          <w:p w:rsidR="00FB5315" w:rsidRPr="00732CE4" w:rsidRDefault="00FB5315" w:rsidP="00DA6D3C">
            <w:pPr>
              <w:numPr>
                <w:ilvl w:val="1"/>
                <w:numId w:val="2"/>
              </w:numPr>
              <w:autoSpaceDE w:val="0"/>
              <w:autoSpaceDN w:val="0"/>
              <w:adjustRightInd w:val="0"/>
              <w:ind w:left="426" w:hanging="426"/>
              <w:jc w:val="both"/>
              <w:rPr>
                <w:rFonts w:ascii="Arial" w:hAnsi="Arial" w:cs="Arial"/>
                <w:color w:val="000000"/>
              </w:rPr>
            </w:pPr>
            <w:r w:rsidRPr="00732CE4">
              <w:rPr>
                <w:rFonts w:ascii="Arial" w:hAnsi="Arial" w:cs="Arial"/>
                <w:color w:val="000000"/>
              </w:rPr>
              <w:t>una modifica sostanziale alla copertura prevista dalla clausola oggetto di variante - anche mediante abrogazione di un’esclusione di garanzia, inserimento di un’estensione di garanzia non prevista, elevazione di un limite di indennizzo/risarcimento, riduzione di scoperto e/o franchigia - con un notevole/ottimo miglioramento del livello della copertura stessa e del grado di efficacia della medesima;</w:t>
            </w:r>
          </w:p>
          <w:p w:rsidR="00FB5315" w:rsidRPr="00732CE4" w:rsidRDefault="00FB5315" w:rsidP="00DA6D3C">
            <w:pPr>
              <w:numPr>
                <w:ilvl w:val="1"/>
                <w:numId w:val="2"/>
              </w:numPr>
              <w:autoSpaceDE w:val="0"/>
              <w:autoSpaceDN w:val="0"/>
              <w:adjustRightInd w:val="0"/>
              <w:ind w:left="426" w:hanging="426"/>
              <w:jc w:val="both"/>
              <w:rPr>
                <w:rFonts w:ascii="Arial" w:hAnsi="Arial" w:cs="Arial"/>
                <w:color w:val="000000"/>
              </w:rPr>
            </w:pPr>
            <w:r w:rsidRPr="00732CE4">
              <w:rPr>
                <w:rFonts w:ascii="Arial" w:hAnsi="Arial" w:cs="Arial"/>
                <w:color w:val="000000"/>
              </w:rPr>
              <w:t>modifiche sostanziali alle modalità di gestione del contratto, con elevati benefici per il Contraente e/o particolarmente rilevante riduzione degli oneri gestionali a suo carico rispetto a quanto previsto nel capitolato tecnico.</w:t>
            </w:r>
          </w:p>
        </w:tc>
        <w:tc>
          <w:tcPr>
            <w:tcW w:w="2658" w:type="dxa"/>
          </w:tcPr>
          <w:p w:rsidR="00FB5315" w:rsidRPr="00732CE4" w:rsidRDefault="00FB5315" w:rsidP="00711CF2">
            <w:pPr>
              <w:ind w:right="-23"/>
              <w:jc w:val="both"/>
              <w:rPr>
                <w:rFonts w:ascii="Arial" w:hAnsi="Arial" w:cs="Arial"/>
                <w:b/>
                <w:bCs/>
                <w:color w:val="000000"/>
                <w:u w:val="single"/>
              </w:rPr>
            </w:pPr>
          </w:p>
          <w:p w:rsidR="00FB5315" w:rsidRPr="00732CE4" w:rsidRDefault="00FB5315" w:rsidP="00711CF2">
            <w:pPr>
              <w:ind w:right="-23"/>
              <w:jc w:val="both"/>
              <w:rPr>
                <w:rFonts w:ascii="Arial" w:hAnsi="Arial" w:cs="Arial"/>
                <w:b/>
                <w:bCs/>
                <w:color w:val="000000"/>
                <w:u w:val="single"/>
              </w:rPr>
            </w:pPr>
          </w:p>
          <w:p w:rsidR="00FB5315" w:rsidRPr="00732CE4" w:rsidRDefault="00FB5315" w:rsidP="00711CF2">
            <w:pPr>
              <w:ind w:right="-23"/>
              <w:jc w:val="both"/>
              <w:rPr>
                <w:rFonts w:ascii="Arial" w:hAnsi="Arial" w:cs="Arial"/>
                <w:b/>
                <w:bCs/>
                <w:color w:val="000000"/>
                <w:u w:val="single"/>
              </w:rPr>
            </w:pPr>
          </w:p>
          <w:p w:rsidR="00FB5315" w:rsidRPr="00732CE4" w:rsidRDefault="00FB5315" w:rsidP="00711CF2">
            <w:pPr>
              <w:ind w:right="-23"/>
              <w:jc w:val="both"/>
              <w:rPr>
                <w:rFonts w:ascii="Arial" w:hAnsi="Arial" w:cs="Arial"/>
                <w:b/>
                <w:bCs/>
                <w:color w:val="000000"/>
                <w:u w:val="single"/>
              </w:rPr>
            </w:pPr>
          </w:p>
          <w:p w:rsidR="00FB5315" w:rsidRPr="00732CE4" w:rsidRDefault="00FB5315" w:rsidP="00711CF2">
            <w:pPr>
              <w:ind w:right="-23"/>
              <w:jc w:val="both"/>
              <w:rPr>
                <w:rFonts w:ascii="Arial" w:hAnsi="Arial" w:cs="Arial"/>
                <w:b/>
                <w:bCs/>
                <w:color w:val="000000"/>
              </w:rPr>
            </w:pPr>
            <w:r w:rsidRPr="00732CE4">
              <w:rPr>
                <w:rFonts w:ascii="Arial" w:hAnsi="Arial" w:cs="Arial"/>
                <w:b/>
                <w:bCs/>
                <w:color w:val="000000"/>
              </w:rPr>
              <w:t>+2,5</w:t>
            </w:r>
          </w:p>
        </w:tc>
      </w:tr>
      <w:tr w:rsidR="00FB5315" w:rsidRPr="00732CE4">
        <w:tc>
          <w:tcPr>
            <w:tcW w:w="7196" w:type="dxa"/>
          </w:tcPr>
          <w:p w:rsidR="00FB5315" w:rsidRPr="00732CE4" w:rsidRDefault="00FB5315" w:rsidP="00711CF2">
            <w:pPr>
              <w:ind w:right="-23"/>
              <w:jc w:val="both"/>
              <w:rPr>
                <w:rFonts w:ascii="Arial" w:hAnsi="Arial" w:cs="Arial"/>
                <w:color w:val="000000"/>
              </w:rPr>
            </w:pPr>
            <w:r w:rsidRPr="00732CE4">
              <w:rPr>
                <w:rFonts w:ascii="Arial" w:hAnsi="Arial" w:cs="Arial"/>
                <w:b/>
                <w:bCs/>
                <w:color w:val="000000"/>
                <w:u w:val="single"/>
              </w:rPr>
              <w:t>Variante Buona</w:t>
            </w:r>
            <w:r w:rsidRPr="00732CE4">
              <w:rPr>
                <w:rFonts w:ascii="Arial" w:hAnsi="Arial" w:cs="Arial"/>
                <w:color w:val="000000"/>
              </w:rPr>
              <w:t>, e cioè la variante che apporta:</w:t>
            </w:r>
          </w:p>
          <w:p w:rsidR="00FB5315" w:rsidRPr="00732CE4" w:rsidRDefault="00FB5315" w:rsidP="00DA6D3C">
            <w:pPr>
              <w:numPr>
                <w:ilvl w:val="0"/>
                <w:numId w:val="3"/>
              </w:numPr>
              <w:autoSpaceDE w:val="0"/>
              <w:autoSpaceDN w:val="0"/>
              <w:adjustRightInd w:val="0"/>
              <w:ind w:left="426" w:hanging="426"/>
              <w:jc w:val="both"/>
              <w:rPr>
                <w:rFonts w:ascii="Arial" w:hAnsi="Arial" w:cs="Arial"/>
                <w:color w:val="000000"/>
              </w:rPr>
            </w:pPr>
            <w:r w:rsidRPr="00732CE4">
              <w:rPr>
                <w:rFonts w:ascii="Arial" w:hAnsi="Arial" w:cs="Arial"/>
                <w:color w:val="000000"/>
              </w:rPr>
              <w:t>una modifica alla copertura prevista dalla clausola oggetto di variante - anche mediante abrogazione di un’esclusione di garanzia, inserimento di un’estensione di garanzia non prevista, elevazione di un limite di indennizzo/risarcimento, riduzione di scoperto e/o franchigia - con un più che apprezzabile/buon miglioramento del livello della copertura stessa e del grado di efficacia della medesima;</w:t>
            </w:r>
          </w:p>
          <w:p w:rsidR="00FB5315" w:rsidRPr="00732CE4" w:rsidRDefault="00FB5315" w:rsidP="00DA6D3C">
            <w:pPr>
              <w:numPr>
                <w:ilvl w:val="0"/>
                <w:numId w:val="3"/>
              </w:numPr>
              <w:autoSpaceDE w:val="0"/>
              <w:autoSpaceDN w:val="0"/>
              <w:adjustRightInd w:val="0"/>
              <w:ind w:left="426" w:hanging="426"/>
              <w:jc w:val="both"/>
              <w:rPr>
                <w:rFonts w:ascii="Arial" w:hAnsi="Arial" w:cs="Arial"/>
                <w:color w:val="000000"/>
              </w:rPr>
            </w:pPr>
            <w:r w:rsidRPr="00732CE4">
              <w:rPr>
                <w:rFonts w:ascii="Arial" w:hAnsi="Arial" w:cs="Arial"/>
                <w:color w:val="000000"/>
              </w:rPr>
              <w:t>modifiche alle modalità di gestione del contratto, con benefici tangibili per il Contraente e/o significativa riduzione degli oneri gestionali a suo carico rispetto a quanto previsto nel capitolato.</w:t>
            </w:r>
          </w:p>
        </w:tc>
        <w:tc>
          <w:tcPr>
            <w:tcW w:w="2658" w:type="dxa"/>
          </w:tcPr>
          <w:p w:rsidR="00FB5315" w:rsidRPr="00732CE4" w:rsidRDefault="00FB5315" w:rsidP="00711CF2">
            <w:pPr>
              <w:ind w:right="-23"/>
              <w:jc w:val="both"/>
              <w:rPr>
                <w:rFonts w:ascii="Arial" w:hAnsi="Arial" w:cs="Arial"/>
                <w:b/>
                <w:bCs/>
                <w:color w:val="000000"/>
                <w:u w:val="single"/>
              </w:rPr>
            </w:pPr>
          </w:p>
          <w:p w:rsidR="00FB5315" w:rsidRPr="00732CE4" w:rsidRDefault="00FB5315" w:rsidP="00711CF2">
            <w:pPr>
              <w:ind w:right="-23"/>
              <w:jc w:val="both"/>
              <w:rPr>
                <w:rFonts w:ascii="Arial" w:hAnsi="Arial" w:cs="Arial"/>
                <w:b/>
                <w:bCs/>
                <w:color w:val="000000"/>
                <w:u w:val="single"/>
              </w:rPr>
            </w:pPr>
          </w:p>
          <w:p w:rsidR="00FB5315" w:rsidRPr="00732CE4" w:rsidRDefault="00FB5315" w:rsidP="00711CF2">
            <w:pPr>
              <w:ind w:right="-23"/>
              <w:jc w:val="both"/>
              <w:rPr>
                <w:rFonts w:ascii="Arial" w:hAnsi="Arial" w:cs="Arial"/>
                <w:b/>
                <w:bCs/>
                <w:color w:val="000000"/>
                <w:u w:val="single"/>
              </w:rPr>
            </w:pPr>
          </w:p>
          <w:p w:rsidR="00FB5315" w:rsidRPr="00732CE4" w:rsidRDefault="00FB5315" w:rsidP="00711CF2">
            <w:pPr>
              <w:ind w:right="-23"/>
              <w:jc w:val="both"/>
              <w:rPr>
                <w:rFonts w:ascii="Arial" w:hAnsi="Arial" w:cs="Arial"/>
                <w:b/>
                <w:bCs/>
                <w:color w:val="000000"/>
                <w:u w:val="single"/>
              </w:rPr>
            </w:pPr>
          </w:p>
          <w:p w:rsidR="00FB5315" w:rsidRPr="00732CE4" w:rsidRDefault="00FB5315" w:rsidP="00711CF2">
            <w:pPr>
              <w:ind w:right="-23"/>
              <w:jc w:val="both"/>
              <w:rPr>
                <w:rFonts w:ascii="Arial" w:hAnsi="Arial" w:cs="Arial"/>
                <w:b/>
                <w:bCs/>
                <w:color w:val="000000"/>
              </w:rPr>
            </w:pPr>
            <w:r w:rsidRPr="00732CE4">
              <w:rPr>
                <w:rFonts w:ascii="Arial" w:hAnsi="Arial" w:cs="Arial"/>
                <w:b/>
                <w:bCs/>
                <w:color w:val="000000"/>
              </w:rPr>
              <w:t>+1,5</w:t>
            </w:r>
          </w:p>
        </w:tc>
      </w:tr>
      <w:tr w:rsidR="00FB5315" w:rsidRPr="00732CE4">
        <w:tc>
          <w:tcPr>
            <w:tcW w:w="7196" w:type="dxa"/>
          </w:tcPr>
          <w:p w:rsidR="00FB5315" w:rsidRPr="00732CE4" w:rsidRDefault="00FB5315" w:rsidP="00711CF2">
            <w:pPr>
              <w:autoSpaceDE w:val="0"/>
              <w:autoSpaceDN w:val="0"/>
              <w:adjustRightInd w:val="0"/>
              <w:jc w:val="both"/>
              <w:rPr>
                <w:rFonts w:ascii="Arial" w:hAnsi="Arial" w:cs="Arial"/>
                <w:color w:val="000000"/>
              </w:rPr>
            </w:pPr>
            <w:r w:rsidRPr="00732CE4">
              <w:rPr>
                <w:rFonts w:ascii="Arial" w:hAnsi="Arial" w:cs="Arial"/>
                <w:b/>
                <w:bCs/>
                <w:color w:val="000000"/>
                <w:u w:val="single"/>
              </w:rPr>
              <w:t>Variante Discreta</w:t>
            </w:r>
            <w:r w:rsidRPr="00732CE4">
              <w:rPr>
                <w:rFonts w:ascii="Arial" w:hAnsi="Arial" w:cs="Arial"/>
                <w:color w:val="000000"/>
              </w:rPr>
              <w:t>, e cioè la variante che apporta:</w:t>
            </w:r>
          </w:p>
          <w:p w:rsidR="00FB5315" w:rsidRPr="00732CE4" w:rsidRDefault="00FB5315" w:rsidP="00DA6D3C">
            <w:pPr>
              <w:numPr>
                <w:ilvl w:val="0"/>
                <w:numId w:val="4"/>
              </w:numPr>
              <w:autoSpaceDE w:val="0"/>
              <w:autoSpaceDN w:val="0"/>
              <w:adjustRightInd w:val="0"/>
              <w:ind w:left="426" w:hanging="426"/>
              <w:jc w:val="both"/>
              <w:rPr>
                <w:rFonts w:ascii="Arial" w:hAnsi="Arial" w:cs="Arial"/>
                <w:color w:val="000000"/>
              </w:rPr>
            </w:pPr>
            <w:r w:rsidRPr="00732CE4">
              <w:rPr>
                <w:rFonts w:ascii="Arial" w:hAnsi="Arial" w:cs="Arial"/>
                <w:color w:val="000000"/>
              </w:rPr>
              <w:t>una modifica alla copertura prevista dalla clausola oggetto di variante - anche mediante abrogazione di un’esclusione di garanzia, inserimento di un’estensione di garanzia non prevista, elevazione di un limite di indennizzo/risarcimento, riduzione di scoperto e/o franchigia - con un modesto/discreto miglioramento del livello della copertura stessa o il grado di efficacia della medesima;</w:t>
            </w:r>
          </w:p>
          <w:p w:rsidR="00FB5315" w:rsidRPr="00732CE4" w:rsidRDefault="00FB5315" w:rsidP="00DA6D3C">
            <w:pPr>
              <w:numPr>
                <w:ilvl w:val="0"/>
                <w:numId w:val="4"/>
              </w:numPr>
              <w:autoSpaceDE w:val="0"/>
              <w:autoSpaceDN w:val="0"/>
              <w:adjustRightInd w:val="0"/>
              <w:ind w:left="426" w:hanging="426"/>
              <w:jc w:val="both"/>
              <w:rPr>
                <w:rFonts w:ascii="Arial" w:hAnsi="Arial" w:cs="Arial"/>
                <w:color w:val="000000"/>
              </w:rPr>
            </w:pPr>
            <w:r w:rsidRPr="00732CE4">
              <w:rPr>
                <w:rFonts w:ascii="Arial" w:hAnsi="Arial" w:cs="Arial"/>
                <w:color w:val="000000"/>
              </w:rPr>
              <w:t>modifiche alle modalità di gestione del contratto, con modesti benefici per il Contraente e/o modesta riduzione degli oneri gestionali a suo carico rispetto a quanto previsto nel capitolato.</w:t>
            </w:r>
          </w:p>
        </w:tc>
        <w:tc>
          <w:tcPr>
            <w:tcW w:w="2658" w:type="dxa"/>
          </w:tcPr>
          <w:p w:rsidR="00FB5315" w:rsidRPr="00732CE4" w:rsidRDefault="00FB5315" w:rsidP="00711CF2">
            <w:pPr>
              <w:autoSpaceDE w:val="0"/>
              <w:autoSpaceDN w:val="0"/>
              <w:adjustRightInd w:val="0"/>
              <w:jc w:val="both"/>
              <w:rPr>
                <w:rFonts w:ascii="Arial" w:hAnsi="Arial" w:cs="Arial"/>
                <w:b/>
                <w:bCs/>
                <w:color w:val="000000"/>
                <w:u w:val="single"/>
              </w:rPr>
            </w:pPr>
          </w:p>
          <w:p w:rsidR="00FB5315" w:rsidRPr="00732CE4" w:rsidRDefault="00FB5315" w:rsidP="00711CF2">
            <w:pPr>
              <w:autoSpaceDE w:val="0"/>
              <w:autoSpaceDN w:val="0"/>
              <w:adjustRightInd w:val="0"/>
              <w:jc w:val="both"/>
              <w:rPr>
                <w:rFonts w:ascii="Arial" w:hAnsi="Arial" w:cs="Arial"/>
                <w:b/>
                <w:bCs/>
                <w:color w:val="000000"/>
                <w:u w:val="single"/>
              </w:rPr>
            </w:pPr>
          </w:p>
          <w:p w:rsidR="00FB5315" w:rsidRPr="00732CE4" w:rsidRDefault="00FB5315" w:rsidP="00711CF2">
            <w:pPr>
              <w:autoSpaceDE w:val="0"/>
              <w:autoSpaceDN w:val="0"/>
              <w:adjustRightInd w:val="0"/>
              <w:jc w:val="both"/>
              <w:rPr>
                <w:rFonts w:ascii="Arial" w:hAnsi="Arial" w:cs="Arial"/>
                <w:b/>
                <w:bCs/>
                <w:color w:val="000000"/>
                <w:u w:val="single"/>
              </w:rPr>
            </w:pPr>
          </w:p>
          <w:p w:rsidR="00FB5315" w:rsidRPr="00732CE4" w:rsidRDefault="00FB5315" w:rsidP="00711CF2">
            <w:pPr>
              <w:autoSpaceDE w:val="0"/>
              <w:autoSpaceDN w:val="0"/>
              <w:adjustRightInd w:val="0"/>
              <w:jc w:val="both"/>
              <w:rPr>
                <w:rFonts w:ascii="Arial" w:hAnsi="Arial" w:cs="Arial"/>
                <w:b/>
                <w:bCs/>
                <w:color w:val="000000"/>
                <w:u w:val="single"/>
              </w:rPr>
            </w:pPr>
          </w:p>
          <w:p w:rsidR="00FB5315" w:rsidRPr="00732CE4" w:rsidRDefault="00FB5315" w:rsidP="00711CF2">
            <w:pPr>
              <w:autoSpaceDE w:val="0"/>
              <w:autoSpaceDN w:val="0"/>
              <w:adjustRightInd w:val="0"/>
              <w:jc w:val="both"/>
              <w:rPr>
                <w:rFonts w:ascii="Arial" w:hAnsi="Arial" w:cs="Arial"/>
                <w:b/>
                <w:bCs/>
                <w:color w:val="000000"/>
                <w:u w:val="single"/>
              </w:rPr>
            </w:pPr>
            <w:r w:rsidRPr="00732CE4">
              <w:rPr>
                <w:rFonts w:ascii="Arial" w:hAnsi="Arial" w:cs="Arial"/>
                <w:b/>
                <w:bCs/>
                <w:color w:val="000000"/>
              </w:rPr>
              <w:t>+1</w:t>
            </w:r>
          </w:p>
        </w:tc>
      </w:tr>
      <w:tr w:rsidR="00FB5315" w:rsidRPr="00732CE4">
        <w:tc>
          <w:tcPr>
            <w:tcW w:w="7196" w:type="dxa"/>
          </w:tcPr>
          <w:p w:rsidR="00FB5315" w:rsidRPr="00732CE4" w:rsidRDefault="00FB5315" w:rsidP="00711CF2">
            <w:pPr>
              <w:ind w:right="-23"/>
              <w:jc w:val="both"/>
              <w:rPr>
                <w:rFonts w:ascii="Arial" w:hAnsi="Arial" w:cs="Arial"/>
                <w:color w:val="000000"/>
              </w:rPr>
            </w:pPr>
            <w:r w:rsidRPr="00732CE4">
              <w:rPr>
                <w:rFonts w:ascii="Arial" w:hAnsi="Arial" w:cs="Arial"/>
                <w:b/>
                <w:bCs/>
                <w:color w:val="000000"/>
              </w:rPr>
              <w:t>Variante Ininfluente</w:t>
            </w:r>
            <w:r w:rsidRPr="00732CE4">
              <w:rPr>
                <w:rFonts w:ascii="Arial" w:hAnsi="Arial" w:cs="Arial"/>
                <w:color w:val="000000"/>
              </w:rPr>
              <w:t>, e cioè la variante recante:</w:t>
            </w:r>
          </w:p>
          <w:p w:rsidR="00FB5315" w:rsidRPr="00732CE4" w:rsidRDefault="00FB5315" w:rsidP="00DA6D3C">
            <w:pPr>
              <w:numPr>
                <w:ilvl w:val="0"/>
                <w:numId w:val="5"/>
              </w:numPr>
              <w:autoSpaceDE w:val="0"/>
              <w:autoSpaceDN w:val="0"/>
              <w:adjustRightInd w:val="0"/>
              <w:ind w:left="426" w:hanging="426"/>
              <w:jc w:val="both"/>
              <w:rPr>
                <w:rFonts w:ascii="Arial" w:hAnsi="Arial" w:cs="Arial"/>
                <w:color w:val="000000"/>
              </w:rPr>
            </w:pPr>
            <w:r w:rsidRPr="00732CE4">
              <w:rPr>
                <w:rFonts w:ascii="Arial" w:hAnsi="Arial" w:cs="Arial"/>
                <w:color w:val="000000"/>
              </w:rPr>
              <w:t>precisazione che non incide sulla copertura prevista dalla clausola oggetto di modifica, non accrescendone l’efficacia, e si può ritenere equivalente ad accettazione del capitolato proposto;</w:t>
            </w:r>
          </w:p>
          <w:p w:rsidR="00FB5315" w:rsidRPr="00732CE4" w:rsidRDefault="00FB5315" w:rsidP="00DA6D3C">
            <w:pPr>
              <w:numPr>
                <w:ilvl w:val="0"/>
                <w:numId w:val="5"/>
              </w:numPr>
              <w:autoSpaceDE w:val="0"/>
              <w:autoSpaceDN w:val="0"/>
              <w:adjustRightInd w:val="0"/>
              <w:ind w:left="426" w:hanging="426"/>
              <w:jc w:val="both"/>
              <w:rPr>
                <w:rFonts w:ascii="Arial" w:hAnsi="Arial" w:cs="Arial"/>
                <w:color w:val="000000"/>
              </w:rPr>
            </w:pPr>
            <w:r w:rsidRPr="00732CE4">
              <w:rPr>
                <w:rFonts w:ascii="Arial" w:hAnsi="Arial" w:cs="Arial"/>
                <w:color w:val="000000"/>
              </w:rPr>
              <w:t>precisazione che non incide sulle modalità di gestione del contratto e che può ritenersi equivalente ad accettazione del capitolato tecnico proposto.</w:t>
            </w:r>
          </w:p>
        </w:tc>
        <w:tc>
          <w:tcPr>
            <w:tcW w:w="2658" w:type="dxa"/>
          </w:tcPr>
          <w:p w:rsidR="00FB5315" w:rsidRPr="00732CE4" w:rsidRDefault="00FB5315" w:rsidP="00711CF2">
            <w:pPr>
              <w:ind w:right="-23"/>
              <w:jc w:val="both"/>
              <w:rPr>
                <w:rFonts w:ascii="Arial" w:hAnsi="Arial" w:cs="Arial"/>
                <w:b/>
                <w:bCs/>
                <w:color w:val="000000"/>
              </w:rPr>
            </w:pPr>
          </w:p>
          <w:p w:rsidR="00FB5315" w:rsidRPr="00732CE4" w:rsidRDefault="00FB5315" w:rsidP="00711CF2">
            <w:pPr>
              <w:ind w:right="-23"/>
              <w:jc w:val="both"/>
              <w:rPr>
                <w:rFonts w:ascii="Arial" w:hAnsi="Arial" w:cs="Arial"/>
                <w:b/>
                <w:bCs/>
                <w:color w:val="000000"/>
              </w:rPr>
            </w:pPr>
          </w:p>
          <w:p w:rsidR="00FB5315" w:rsidRPr="00732CE4" w:rsidRDefault="00FB5315" w:rsidP="00711CF2">
            <w:pPr>
              <w:ind w:right="-23"/>
              <w:jc w:val="both"/>
              <w:rPr>
                <w:rFonts w:ascii="Arial" w:hAnsi="Arial" w:cs="Arial"/>
                <w:b/>
                <w:bCs/>
                <w:color w:val="000000"/>
              </w:rPr>
            </w:pPr>
          </w:p>
          <w:p w:rsidR="00FB5315" w:rsidRPr="00732CE4" w:rsidRDefault="00FB5315" w:rsidP="00711CF2">
            <w:pPr>
              <w:ind w:right="-23"/>
              <w:jc w:val="both"/>
              <w:rPr>
                <w:rFonts w:ascii="Arial" w:hAnsi="Arial" w:cs="Arial"/>
                <w:b/>
                <w:bCs/>
                <w:color w:val="000000"/>
              </w:rPr>
            </w:pPr>
            <w:r w:rsidRPr="00732CE4">
              <w:rPr>
                <w:rFonts w:ascii="Arial" w:hAnsi="Arial" w:cs="Arial"/>
                <w:b/>
                <w:bCs/>
                <w:color w:val="000000"/>
              </w:rPr>
              <w:t>+0</w:t>
            </w:r>
          </w:p>
        </w:tc>
      </w:tr>
    </w:tbl>
    <w:p w:rsidR="00FB5315" w:rsidRPr="00732CE4" w:rsidRDefault="00FB5315" w:rsidP="00DA6D3C">
      <w:pPr>
        <w:pStyle w:val="BodyTextIndent2"/>
        <w:spacing w:after="0" w:line="240" w:lineRule="auto"/>
        <w:ind w:left="0"/>
        <w:jc w:val="both"/>
        <w:rPr>
          <w:rFonts w:ascii="Arial" w:hAnsi="Arial" w:cs="Arial"/>
          <w:b/>
          <w:bCs/>
          <w:sz w:val="20"/>
          <w:szCs w:val="20"/>
        </w:rPr>
      </w:pPr>
    </w:p>
    <w:p w:rsidR="00FB5315" w:rsidRPr="00732CE4" w:rsidRDefault="00FB5315" w:rsidP="00DA6D3C">
      <w:pPr>
        <w:spacing w:after="120"/>
        <w:jc w:val="both"/>
        <w:rPr>
          <w:rFonts w:ascii="Arial" w:hAnsi="Arial" w:cs="Arial"/>
          <w:b/>
          <w:bCs/>
        </w:rPr>
      </w:pPr>
      <w:r w:rsidRPr="00732CE4">
        <w:rPr>
          <w:rFonts w:ascii="Arial" w:hAnsi="Arial" w:cs="Arial"/>
          <w:b/>
          <w:bCs/>
        </w:rPr>
        <w:t>B) Offerta Economica (prezzo)</w:t>
      </w:r>
    </w:p>
    <w:p w:rsidR="00FB5315" w:rsidRDefault="00FB5315" w:rsidP="00DA6D3C">
      <w:pPr>
        <w:jc w:val="both"/>
        <w:rPr>
          <w:rFonts w:ascii="Arial" w:hAnsi="Arial" w:cs="Arial"/>
        </w:rPr>
      </w:pPr>
      <w:r w:rsidRPr="002B4335">
        <w:rPr>
          <w:rFonts w:ascii="Arial" w:hAnsi="Arial" w:cs="Arial"/>
        </w:rPr>
        <w:t xml:space="preserve">All’offerta con prezzo più basso saranno attribuiti </w:t>
      </w:r>
      <w:r w:rsidRPr="002B4335">
        <w:rPr>
          <w:rFonts w:ascii="Arial" w:hAnsi="Arial" w:cs="Arial"/>
          <w:b/>
          <w:bCs/>
        </w:rPr>
        <w:t>30 punti</w:t>
      </w:r>
      <w:r>
        <w:rPr>
          <w:rFonts w:ascii="Arial" w:hAnsi="Arial" w:cs="Arial"/>
        </w:rPr>
        <w:t>. A</w:t>
      </w:r>
      <w:r w:rsidRPr="00732CE4">
        <w:rPr>
          <w:rFonts w:ascii="Arial" w:hAnsi="Arial" w:cs="Arial"/>
        </w:rPr>
        <w:t>lle altre offerte i punti saranno attribuiti in base alla seguente formula matematica:</w:t>
      </w:r>
    </w:p>
    <w:p w:rsidR="00FB5315" w:rsidRPr="00732CE4" w:rsidRDefault="00FB5315" w:rsidP="00DA6D3C">
      <w:pPr>
        <w:jc w:val="both"/>
        <w:rPr>
          <w:rFonts w:ascii="Arial" w:hAnsi="Arial" w:cs="Arial"/>
        </w:rPr>
      </w:pPr>
    </w:p>
    <w:p w:rsidR="00FB5315" w:rsidRDefault="00FB5315" w:rsidP="00DA6D3C">
      <w:pPr>
        <w:pStyle w:val="provvr0"/>
        <w:spacing w:before="0" w:beforeAutospacing="0" w:after="0" w:afterAutospacing="0"/>
        <w:jc w:val="both"/>
        <w:rPr>
          <w:rFonts w:ascii="Arial" w:hAnsi="Arial" w:cs="Arial"/>
          <w:color w:val="000000"/>
          <w:sz w:val="20"/>
          <w:szCs w:val="20"/>
        </w:rPr>
      </w:pPr>
    </w:p>
    <w:p w:rsidR="00FB5315" w:rsidRPr="00044D5F" w:rsidRDefault="00FB5315" w:rsidP="00DA6D3C">
      <w:pPr>
        <w:pStyle w:val="provvr0"/>
        <w:spacing w:before="0" w:beforeAutospacing="0" w:after="0" w:afterAutospacing="0"/>
        <w:jc w:val="both"/>
        <w:rPr>
          <w:rFonts w:ascii="Arial" w:hAnsi="Arial" w:cs="Arial"/>
          <w:color w:val="000000"/>
          <w:sz w:val="20"/>
          <w:szCs w:val="20"/>
          <w:u w:val="single"/>
        </w:rPr>
      </w:pPr>
      <w:r w:rsidRPr="00044D5F">
        <w:rPr>
          <w:rFonts w:ascii="Arial" w:hAnsi="Arial" w:cs="Arial"/>
          <w:color w:val="000000"/>
          <w:sz w:val="20"/>
          <w:szCs w:val="20"/>
        </w:rPr>
        <w:t>P</w:t>
      </w:r>
      <w:r w:rsidRPr="00044D5F">
        <w:rPr>
          <w:rFonts w:ascii="Arial" w:hAnsi="Arial" w:cs="Arial"/>
          <w:color w:val="000000"/>
          <w:sz w:val="20"/>
          <w:szCs w:val="20"/>
          <w:vertAlign w:val="subscript"/>
        </w:rPr>
        <w:t>(a)</w:t>
      </w:r>
      <w:r w:rsidRPr="00044D5F">
        <w:rPr>
          <w:rFonts w:ascii="Arial" w:hAnsi="Arial" w:cs="Arial"/>
          <w:color w:val="000000"/>
          <w:sz w:val="20"/>
          <w:szCs w:val="20"/>
        </w:rPr>
        <w:t xml:space="preserve"> = </w:t>
      </w:r>
      <w:r w:rsidRPr="00044D5F">
        <w:rPr>
          <w:rFonts w:ascii="Arial" w:hAnsi="Arial" w:cs="Arial"/>
          <w:color w:val="000000"/>
          <w:sz w:val="20"/>
          <w:szCs w:val="20"/>
          <w:u w:val="single"/>
        </w:rPr>
        <w:t>R</w:t>
      </w:r>
      <w:r w:rsidRPr="00044D5F">
        <w:rPr>
          <w:rFonts w:ascii="Arial" w:hAnsi="Arial" w:cs="Arial"/>
          <w:color w:val="000000"/>
          <w:sz w:val="20"/>
          <w:szCs w:val="20"/>
          <w:u w:val="single"/>
          <w:vertAlign w:val="subscript"/>
        </w:rPr>
        <w:t xml:space="preserve">min </w:t>
      </w:r>
      <w:r w:rsidRPr="00044D5F">
        <w:rPr>
          <w:rFonts w:ascii="Arial" w:hAnsi="Arial" w:cs="Arial"/>
          <w:color w:val="000000"/>
          <w:sz w:val="20"/>
          <w:szCs w:val="20"/>
          <w:u w:val="single"/>
        </w:rPr>
        <w:t>x 30</w:t>
      </w:r>
    </w:p>
    <w:p w:rsidR="00FB5315" w:rsidRPr="00044D5F" w:rsidRDefault="00FB5315" w:rsidP="00DA6D3C">
      <w:pPr>
        <w:pStyle w:val="provvr0"/>
        <w:spacing w:before="0" w:beforeAutospacing="0" w:after="0" w:afterAutospacing="0"/>
        <w:ind w:firstLine="708"/>
        <w:jc w:val="both"/>
        <w:rPr>
          <w:rFonts w:ascii="Arial" w:hAnsi="Arial" w:cs="Arial"/>
          <w:color w:val="000000"/>
          <w:sz w:val="20"/>
          <w:szCs w:val="20"/>
        </w:rPr>
      </w:pPr>
      <w:r w:rsidRPr="00044D5F">
        <w:rPr>
          <w:rFonts w:ascii="Arial" w:hAnsi="Arial" w:cs="Arial"/>
          <w:color w:val="000000"/>
          <w:sz w:val="20"/>
          <w:szCs w:val="20"/>
        </w:rPr>
        <w:t>R</w:t>
      </w:r>
      <w:r w:rsidRPr="00044D5F">
        <w:rPr>
          <w:rFonts w:ascii="Arial" w:hAnsi="Arial" w:cs="Arial"/>
          <w:color w:val="000000"/>
          <w:sz w:val="20"/>
          <w:szCs w:val="20"/>
          <w:vertAlign w:val="subscript"/>
        </w:rPr>
        <w:t>a</w:t>
      </w:r>
    </w:p>
    <w:p w:rsidR="00FB5315" w:rsidRPr="00732CE4" w:rsidRDefault="00FB5315" w:rsidP="00DA6D3C">
      <w:pPr>
        <w:pStyle w:val="provvr0"/>
        <w:jc w:val="both"/>
        <w:rPr>
          <w:rFonts w:ascii="Arial" w:hAnsi="Arial" w:cs="Arial"/>
          <w:color w:val="000000"/>
          <w:sz w:val="20"/>
          <w:szCs w:val="20"/>
        </w:rPr>
      </w:pPr>
      <w:r w:rsidRPr="00044D5F">
        <w:rPr>
          <w:rFonts w:ascii="Arial" w:hAnsi="Arial" w:cs="Arial"/>
          <w:color w:val="000000"/>
          <w:sz w:val="20"/>
          <w:szCs w:val="20"/>
        </w:rPr>
        <w:t>dove:</w:t>
      </w:r>
    </w:p>
    <w:p w:rsidR="00FB5315" w:rsidRPr="00732CE4" w:rsidRDefault="00FB5315" w:rsidP="00DA6D3C">
      <w:pPr>
        <w:pStyle w:val="provvr0"/>
        <w:jc w:val="both"/>
        <w:rPr>
          <w:rFonts w:ascii="Arial" w:hAnsi="Arial" w:cs="Arial"/>
          <w:color w:val="000000"/>
          <w:sz w:val="20"/>
          <w:szCs w:val="20"/>
        </w:rPr>
      </w:pPr>
      <w:r w:rsidRPr="00732CE4">
        <w:rPr>
          <w:rFonts w:ascii="Arial" w:hAnsi="Arial" w:cs="Arial"/>
          <w:color w:val="000000"/>
          <w:sz w:val="20"/>
          <w:szCs w:val="20"/>
        </w:rPr>
        <w:t>P</w:t>
      </w:r>
      <w:r w:rsidRPr="00732CE4">
        <w:rPr>
          <w:rFonts w:ascii="Arial" w:hAnsi="Arial" w:cs="Arial"/>
          <w:color w:val="000000"/>
          <w:sz w:val="20"/>
          <w:szCs w:val="20"/>
          <w:vertAlign w:val="subscript"/>
        </w:rPr>
        <w:t>(a)</w:t>
      </w:r>
      <w:r w:rsidRPr="00732CE4">
        <w:rPr>
          <w:rFonts w:ascii="Arial" w:hAnsi="Arial" w:cs="Arial"/>
          <w:color w:val="000000"/>
          <w:sz w:val="20"/>
          <w:szCs w:val="20"/>
        </w:rPr>
        <w:t xml:space="preserve"> = punteggio attribuito al concorrente (a)</w:t>
      </w:r>
    </w:p>
    <w:p w:rsidR="00FB5315" w:rsidRPr="00732CE4" w:rsidRDefault="00FB5315" w:rsidP="00DA6D3C">
      <w:pPr>
        <w:pStyle w:val="provvr0"/>
        <w:jc w:val="both"/>
        <w:rPr>
          <w:rFonts w:ascii="Arial" w:hAnsi="Arial" w:cs="Arial"/>
          <w:color w:val="000000"/>
          <w:sz w:val="20"/>
          <w:szCs w:val="20"/>
        </w:rPr>
      </w:pPr>
      <w:r w:rsidRPr="00732CE4">
        <w:rPr>
          <w:rFonts w:ascii="Arial" w:hAnsi="Arial" w:cs="Arial"/>
          <w:color w:val="000000"/>
          <w:sz w:val="20"/>
          <w:szCs w:val="20"/>
        </w:rPr>
        <w:t>R</w:t>
      </w:r>
      <w:r w:rsidRPr="00732CE4">
        <w:rPr>
          <w:rFonts w:ascii="Arial" w:hAnsi="Arial" w:cs="Arial"/>
          <w:color w:val="000000"/>
          <w:sz w:val="20"/>
          <w:szCs w:val="20"/>
          <w:vertAlign w:val="subscript"/>
        </w:rPr>
        <w:t>min</w:t>
      </w:r>
      <w:r w:rsidRPr="00732CE4">
        <w:rPr>
          <w:rFonts w:ascii="Arial" w:hAnsi="Arial" w:cs="Arial"/>
          <w:color w:val="000000"/>
          <w:sz w:val="20"/>
          <w:szCs w:val="20"/>
        </w:rPr>
        <w:t xml:space="preserve"> = valore dell’offerta più conveniente (premio annuo complessivo più basso)</w:t>
      </w:r>
    </w:p>
    <w:p w:rsidR="00FB5315" w:rsidRPr="00732CE4" w:rsidRDefault="00FB5315" w:rsidP="00DA6D3C">
      <w:pPr>
        <w:pStyle w:val="provvr0"/>
        <w:jc w:val="both"/>
        <w:rPr>
          <w:rFonts w:ascii="Arial" w:hAnsi="Arial" w:cs="Arial"/>
          <w:color w:val="000000"/>
          <w:sz w:val="20"/>
          <w:szCs w:val="20"/>
        </w:rPr>
      </w:pPr>
      <w:r w:rsidRPr="00732CE4">
        <w:rPr>
          <w:rFonts w:ascii="Arial" w:hAnsi="Arial" w:cs="Arial"/>
          <w:color w:val="000000"/>
          <w:sz w:val="20"/>
          <w:szCs w:val="20"/>
        </w:rPr>
        <w:t>30 = punteggio economico massimo assegnabile</w:t>
      </w:r>
    </w:p>
    <w:p w:rsidR="00FB5315" w:rsidRPr="00732CE4" w:rsidRDefault="00FB5315" w:rsidP="00DA6D3C">
      <w:pPr>
        <w:pStyle w:val="provvr0"/>
        <w:jc w:val="both"/>
        <w:rPr>
          <w:rFonts w:ascii="Arial" w:hAnsi="Arial" w:cs="Arial"/>
          <w:color w:val="000000"/>
          <w:sz w:val="20"/>
          <w:szCs w:val="20"/>
        </w:rPr>
      </w:pPr>
      <w:r w:rsidRPr="00732CE4">
        <w:rPr>
          <w:rFonts w:ascii="Arial" w:hAnsi="Arial" w:cs="Arial"/>
          <w:color w:val="000000"/>
          <w:sz w:val="20"/>
          <w:szCs w:val="20"/>
        </w:rPr>
        <w:t>R</w:t>
      </w:r>
      <w:r w:rsidRPr="00732CE4">
        <w:rPr>
          <w:rFonts w:ascii="Arial" w:hAnsi="Arial" w:cs="Arial"/>
          <w:color w:val="000000"/>
          <w:sz w:val="20"/>
          <w:szCs w:val="20"/>
          <w:vertAlign w:val="subscript"/>
        </w:rPr>
        <w:t>(a)</w:t>
      </w:r>
      <w:r w:rsidRPr="00732CE4">
        <w:rPr>
          <w:rFonts w:ascii="Arial" w:hAnsi="Arial" w:cs="Arial"/>
          <w:color w:val="000000"/>
          <w:sz w:val="20"/>
          <w:szCs w:val="20"/>
        </w:rPr>
        <w:t xml:space="preserve"> = valore offerto dal concorrente (a) (premio annuo complessivo richiesto dal concorrente)</w:t>
      </w:r>
    </w:p>
    <w:p w:rsidR="00FB5315" w:rsidRPr="00732CE4" w:rsidRDefault="00FB5315" w:rsidP="00DA6D3C">
      <w:pPr>
        <w:spacing w:after="120"/>
        <w:jc w:val="both"/>
        <w:rPr>
          <w:rFonts w:ascii="Arial" w:hAnsi="Arial" w:cs="Arial"/>
          <w:u w:val="single"/>
        </w:rPr>
      </w:pPr>
      <w:r w:rsidRPr="00732CE4">
        <w:rPr>
          <w:rFonts w:ascii="Arial" w:hAnsi="Arial" w:cs="Arial"/>
          <w:u w:val="single"/>
        </w:rPr>
        <w:t>Si precisa che la classificazione delle offerte verrà effettuata prendendo in considerazione il premio complessivo annuo così come indicato nella scheda di offerta economica.</w:t>
      </w:r>
    </w:p>
    <w:p w:rsidR="00FB5315" w:rsidRPr="00732CE4" w:rsidRDefault="00FB5315" w:rsidP="00DA6D3C">
      <w:pPr>
        <w:autoSpaceDE w:val="0"/>
        <w:autoSpaceDN w:val="0"/>
        <w:adjustRightInd w:val="0"/>
        <w:jc w:val="both"/>
        <w:rPr>
          <w:rFonts w:ascii="Arial" w:hAnsi="Arial" w:cs="Arial"/>
          <w:color w:val="000000"/>
        </w:rPr>
      </w:pPr>
      <w:r w:rsidRPr="00732CE4">
        <w:rPr>
          <w:rFonts w:ascii="Arial" w:hAnsi="Arial" w:cs="Arial"/>
          <w:color w:val="000000"/>
        </w:rPr>
        <w:t>Il calcolo dell’offerta economicamente più vantaggiosa sarà dato dalla somma dei punteggi attribuiti all’offerta tecnica (A) ed all’offerta economica (B), punteggi che verranno attribuiti come sopra specificato; tutti i valori saranno arrotondati alla seconda cifra decimale.</w:t>
      </w:r>
    </w:p>
    <w:p w:rsidR="00FB5315" w:rsidRPr="009021A8" w:rsidRDefault="00FB5315">
      <w:pPr>
        <w:rPr>
          <w:rFonts w:ascii="Calibri" w:hAnsi="Calibri" w:cs="Calibri"/>
          <w:sz w:val="22"/>
          <w:szCs w:val="22"/>
        </w:rPr>
      </w:pPr>
    </w:p>
    <w:sectPr w:rsidR="00FB5315" w:rsidRPr="009021A8" w:rsidSect="0094393B">
      <w:pgSz w:w="11906" w:h="16838"/>
      <w:pgMar w:top="1417" w:right="1134" w:bottom="1134" w:left="1134"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default"/>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17263"/>
    <w:multiLevelType w:val="hybridMultilevel"/>
    <w:tmpl w:val="09508ABA"/>
    <w:lvl w:ilvl="0" w:tplc="0410000F">
      <w:start w:val="1"/>
      <w:numFmt w:val="decimal"/>
      <w:lvlText w:val="%1."/>
      <w:lvlJc w:val="left"/>
      <w:pPr>
        <w:ind w:left="720" w:hanging="360"/>
      </w:pPr>
      <w:rPr>
        <w:rFonts w:hint="default"/>
      </w:rPr>
    </w:lvl>
    <w:lvl w:ilvl="1" w:tplc="AB2A1DD4">
      <w:start w:val="1"/>
      <w:numFmt w:val="bullet"/>
      <w:lvlText w:val=""/>
      <w:lvlJc w:val="left"/>
      <w:pPr>
        <w:ind w:left="1440" w:hanging="360"/>
      </w:pPr>
      <w:rPr>
        <w:rFonts w:ascii="Symbol" w:hAnsi="Symbol"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2B742CF8"/>
    <w:multiLevelType w:val="hybridMultilevel"/>
    <w:tmpl w:val="CAB0380A"/>
    <w:lvl w:ilvl="0" w:tplc="AB2A1DD4">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
    <w:nsid w:val="5209700D"/>
    <w:multiLevelType w:val="hybridMultilevel"/>
    <w:tmpl w:val="DEA2784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567A4924"/>
    <w:multiLevelType w:val="hybridMultilevel"/>
    <w:tmpl w:val="526A42FC"/>
    <w:lvl w:ilvl="0" w:tplc="AB2A1DD4">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
    <w:nsid w:val="58C37CDF"/>
    <w:multiLevelType w:val="hybridMultilevel"/>
    <w:tmpl w:val="A66890EC"/>
    <w:lvl w:ilvl="0" w:tplc="AB2A1DD4">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nsid w:val="6B5E3580"/>
    <w:multiLevelType w:val="hybridMultilevel"/>
    <w:tmpl w:val="AC582DA4"/>
    <w:lvl w:ilvl="0" w:tplc="AB2A1DD4">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nsid w:val="6E31125F"/>
    <w:multiLevelType w:val="hybridMultilevel"/>
    <w:tmpl w:val="1326F218"/>
    <w:lvl w:ilvl="0" w:tplc="AB2A1DD4">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7">
    <w:nsid w:val="7B635B89"/>
    <w:multiLevelType w:val="hybridMultilevel"/>
    <w:tmpl w:val="BF6AF320"/>
    <w:lvl w:ilvl="0" w:tplc="AB2A1DD4">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5"/>
  </w:num>
  <w:num w:numId="4">
    <w:abstractNumId w:val="3"/>
  </w:num>
  <w:num w:numId="5">
    <w:abstractNumId w:val="1"/>
  </w:num>
  <w:num w:numId="6">
    <w:abstractNumId w:val="6"/>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21A8"/>
    <w:rsid w:val="00044D5F"/>
    <w:rsid w:val="000C0654"/>
    <w:rsid w:val="00170EED"/>
    <w:rsid w:val="001E398B"/>
    <w:rsid w:val="00292DBD"/>
    <w:rsid w:val="002B4335"/>
    <w:rsid w:val="003D19F5"/>
    <w:rsid w:val="004B5421"/>
    <w:rsid w:val="004C7E6E"/>
    <w:rsid w:val="005F3A2A"/>
    <w:rsid w:val="00635D1F"/>
    <w:rsid w:val="007024CB"/>
    <w:rsid w:val="00704DBC"/>
    <w:rsid w:val="00711ABD"/>
    <w:rsid w:val="00711CF2"/>
    <w:rsid w:val="00732CE4"/>
    <w:rsid w:val="007747B9"/>
    <w:rsid w:val="007E582C"/>
    <w:rsid w:val="009021A8"/>
    <w:rsid w:val="00911CE9"/>
    <w:rsid w:val="00931A66"/>
    <w:rsid w:val="0094393B"/>
    <w:rsid w:val="00AB36F2"/>
    <w:rsid w:val="00B02A9A"/>
    <w:rsid w:val="00B0498C"/>
    <w:rsid w:val="00B31DF3"/>
    <w:rsid w:val="00B44631"/>
    <w:rsid w:val="00D41677"/>
    <w:rsid w:val="00DA6D3C"/>
    <w:rsid w:val="00ED4AEE"/>
    <w:rsid w:val="00ED7240"/>
    <w:rsid w:val="00FB531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1A8"/>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A6D3C"/>
    <w:pPr>
      <w:suppressAutoHyphens/>
      <w:spacing w:after="140" w:line="288" w:lineRule="auto"/>
    </w:pPr>
    <w:rPr>
      <w:rFonts w:ascii="Cambria" w:eastAsia="MS Minngs" w:hAnsi="Cambria" w:cs="Cambria"/>
      <w:sz w:val="24"/>
      <w:szCs w:val="24"/>
      <w:lang w:eastAsia="zh-CN"/>
    </w:rPr>
  </w:style>
  <w:style w:type="character" w:customStyle="1" w:styleId="BodyTextChar">
    <w:name w:val="Body Text Char"/>
    <w:basedOn w:val="DefaultParagraphFont"/>
    <w:link w:val="BodyText"/>
    <w:uiPriority w:val="99"/>
    <w:locked/>
    <w:rsid w:val="00DA6D3C"/>
    <w:rPr>
      <w:rFonts w:ascii="Cambria" w:eastAsia="MS Minngs" w:hAnsi="Cambria" w:cs="Cambria"/>
      <w:sz w:val="24"/>
      <w:szCs w:val="24"/>
      <w:lang w:eastAsia="zh-CN"/>
    </w:rPr>
  </w:style>
  <w:style w:type="paragraph" w:styleId="BodyTextIndent2">
    <w:name w:val="Body Text Indent 2"/>
    <w:basedOn w:val="Normal"/>
    <w:link w:val="BodyTextIndent2Char"/>
    <w:uiPriority w:val="99"/>
    <w:rsid w:val="00DA6D3C"/>
    <w:pPr>
      <w:suppressAutoHyphens/>
      <w:spacing w:after="120" w:line="480" w:lineRule="auto"/>
      <w:ind w:left="283"/>
    </w:pPr>
    <w:rPr>
      <w:rFonts w:ascii="Cambria" w:eastAsia="MS Minngs" w:hAnsi="Cambria" w:cs="Cambria"/>
      <w:sz w:val="24"/>
      <w:szCs w:val="24"/>
      <w:lang w:eastAsia="zh-CN"/>
    </w:rPr>
  </w:style>
  <w:style w:type="character" w:customStyle="1" w:styleId="BodyTextIndent2Char">
    <w:name w:val="Body Text Indent 2 Char"/>
    <w:basedOn w:val="DefaultParagraphFont"/>
    <w:link w:val="BodyTextIndent2"/>
    <w:uiPriority w:val="99"/>
    <w:locked/>
    <w:rsid w:val="00DA6D3C"/>
    <w:rPr>
      <w:rFonts w:ascii="Cambria" w:eastAsia="MS Minngs" w:hAnsi="Cambria" w:cs="Cambria"/>
      <w:sz w:val="24"/>
      <w:szCs w:val="24"/>
      <w:lang w:eastAsia="zh-CN"/>
    </w:rPr>
  </w:style>
  <w:style w:type="paragraph" w:styleId="Subtitle">
    <w:name w:val="Subtitle"/>
    <w:basedOn w:val="Normal"/>
    <w:link w:val="SubtitleChar"/>
    <w:uiPriority w:val="99"/>
    <w:qFormat/>
    <w:rsid w:val="00DA6D3C"/>
    <w:pPr>
      <w:jc w:val="center"/>
    </w:pPr>
    <w:rPr>
      <w:rFonts w:ascii="Book Antiqua" w:hAnsi="Book Antiqua" w:cs="Book Antiqua"/>
      <w:b/>
      <w:bCs/>
      <w:sz w:val="28"/>
      <w:szCs w:val="28"/>
    </w:rPr>
  </w:style>
  <w:style w:type="character" w:customStyle="1" w:styleId="SubtitleChar">
    <w:name w:val="Subtitle Char"/>
    <w:basedOn w:val="DefaultParagraphFont"/>
    <w:link w:val="Subtitle"/>
    <w:uiPriority w:val="99"/>
    <w:locked/>
    <w:rsid w:val="00DA6D3C"/>
    <w:rPr>
      <w:rFonts w:ascii="Book Antiqua" w:hAnsi="Book Antiqua" w:cs="Book Antiqua"/>
      <w:b/>
      <w:bCs/>
      <w:sz w:val="28"/>
      <w:szCs w:val="28"/>
      <w:lang w:eastAsia="it-IT"/>
    </w:rPr>
  </w:style>
  <w:style w:type="paragraph" w:customStyle="1" w:styleId="provvr0">
    <w:name w:val="provv_r0"/>
    <w:basedOn w:val="Normal"/>
    <w:uiPriority w:val="99"/>
    <w:rsid w:val="00DA6D3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1854</Words>
  <Characters>10570</Characters>
  <Application>Microsoft Office Outlook</Application>
  <DocSecurity>0</DocSecurity>
  <Lines>0</Lines>
  <Paragraphs>0</Paragraphs>
  <ScaleCrop>false</ScaleCrop>
  <Company>AON Spa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OFFERTA E CRITERIO DI AGGIUDICAZIONE DELL’APPALTO</dc:title>
  <dc:subject/>
  <dc:creator>AON SpA</dc:creator>
  <cp:keywords/>
  <dc:description/>
  <cp:lastModifiedBy>mazzolini-al-a392</cp:lastModifiedBy>
  <cp:revision>2</cp:revision>
  <dcterms:created xsi:type="dcterms:W3CDTF">2016-02-02T10:36:00Z</dcterms:created>
  <dcterms:modified xsi:type="dcterms:W3CDTF">2016-02-02T10:36:00Z</dcterms:modified>
</cp:coreProperties>
</file>